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975" w:rsidRDefault="0059497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</w:p>
    <w:p w:rsidR="00594975" w:rsidRDefault="0059497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</w:p>
    <w:p w:rsidR="00594975" w:rsidRDefault="008A0DF7">
      <w:pPr>
        <w:keepNext/>
        <w:keepLines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bookmarkStart w:id="0" w:name="p1"/>
      <w:bookmarkStart w:id="1" w:name="Par254"/>
      <w:bookmarkStart w:id="2" w:name="Par255"/>
      <w:bookmarkStart w:id="3" w:name="Par275"/>
      <w:bookmarkStart w:id="4" w:name="Par293"/>
      <w:bookmarkEnd w:id="0"/>
      <w:bookmarkEnd w:id="1"/>
      <w:bookmarkEnd w:id="2"/>
      <w:bookmarkEnd w:id="3"/>
      <w:bookmarkEnd w:id="4"/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Проект</w:t>
      </w:r>
    </w:p>
    <w:p w:rsidR="00594975" w:rsidRDefault="008A0DF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КОНТРАКТ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№ _______</w:t>
      </w:r>
    </w:p>
    <w:p w:rsidR="00594975" w:rsidRDefault="008A0DF7">
      <w:pPr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на поставку поставка продуктов питания (говядина замороженная)</w:t>
      </w:r>
    </w:p>
    <w:p w:rsidR="00594975" w:rsidRDefault="00594975">
      <w:pPr>
        <w:keepNext/>
        <w:keepLines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594975" w:rsidRDefault="008A0DF7">
      <w:pPr>
        <w:keepNext/>
        <w:keepLines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Идентификационный код закупки № 242246400222724640100101310011011244</w:t>
      </w:r>
    </w:p>
    <w:p w:rsidR="00594975" w:rsidRDefault="00594975">
      <w:pPr>
        <w:keepNext/>
        <w:keepLines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pStyle w:val="af3"/>
        <w:keepLines/>
        <w:tabs>
          <w:tab w:val="left" w:pos="6379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>г Красноярск</w:t>
      </w:r>
      <w:r>
        <w:rPr>
          <w:sz w:val="22"/>
          <w:szCs w:val="22"/>
        </w:rPr>
        <w:t xml:space="preserve">                 </w:t>
      </w:r>
    </w:p>
    <w:p w:rsidR="00594975" w:rsidRDefault="008A0DF7">
      <w:pPr>
        <w:pStyle w:val="af3"/>
        <w:keepLines/>
        <w:tabs>
          <w:tab w:val="left" w:pos="6379"/>
        </w:tabs>
        <w:jc w:val="right"/>
        <w:rPr>
          <w:sz w:val="22"/>
          <w:szCs w:val="22"/>
        </w:rPr>
      </w:pPr>
      <w:r>
        <w:rPr>
          <w:sz w:val="22"/>
          <w:szCs w:val="22"/>
        </w:rPr>
        <w:t>«___» __________ 20__ года</w:t>
      </w:r>
    </w:p>
    <w:p w:rsidR="00594975" w:rsidRDefault="00594975">
      <w:pPr>
        <w:keepNext/>
        <w:keepLines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КРАЕВОЕ ГОСУДАРСТВЕННОЕ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БЮДЖЕТНОЕ УЧРЕЖДЕНИЕ ЗДРАВООХРАНЕНИЯ ''КРАСНОЯРСКИЙ МЕЖРАЙОННЫЙ РОДИЛЬНЫЙ ДОМ № 2'' именуемый  в дальнейшем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«Заказчик»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в лице  ______, действующего на основании ________, с одной стороны, и ______________ , именуем__ в дальнейшем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«Поставщик»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 в лице ____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____ , действующего на основании __________ , с другой стороны, вместе именуемые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«Стороны»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 каждый в отдельности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«Сторона»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 руководствуясь Федеральным законом от 05.04.2013 г. № 44-ФЗ  «О контрактной системе в сфере закупок товаров, работ, услуг для обесп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ечения государственных и муниципальных нужд» (далее− Законом N 44-ФЗ), по результатам __________ , на основании __________ от «__» __________ ____ г. № ____ , заключили  настоящий Контракт (далее - Контракт) о нижеследующем:</w:t>
      </w:r>
    </w:p>
    <w:p w:rsidR="00594975" w:rsidRDefault="00594975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I. ПРЕДМЕТ КОНТРАКТА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1.1. Пос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тавщик обязуется передать в собственность продукты питания (далее - Товар) Заказчику в обусловленный настоящим Контрактом срок, согласно Спецификации (Приложение N 1 к настоящему Контракту) и Техническому заданию (Приложение N 2 к настоящему Контракту), а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Заказчик обязуется принять и оплатить Товар в порядке и на условиях, предусмотренных настоящим Контрактом.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1.2. Наименование и количество поставляемого Товара указаны в Спецификации (Приложение N 1 к настоящему Контракту). Функциональные, технические и кач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ественные характеристики Товара установлены в Техническом задании (Приложение N 2 к настоящему Контракту).</w:t>
      </w:r>
    </w:p>
    <w:p w:rsidR="00594975" w:rsidRDefault="00594975" w:rsidP="008A0DF7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II. ЦЕНА КОНТРАКТА И ПОРЯДОК РАСЧЕТОВ</w:t>
      </w:r>
    </w:p>
    <w:p w:rsidR="00594975" w:rsidRDefault="00594975">
      <w:pPr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Цена единицы товара, в том числе НДС, указана в Спецификации (Приложение N 1 к настоящему Контракту).</w:t>
      </w:r>
    </w:p>
    <w:p w:rsidR="00594975" w:rsidRDefault="008A0DF7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(НДС </w:t>
      </w:r>
      <w:r>
        <w:rPr>
          <w:rFonts w:ascii="Times New Roman" w:hAnsi="Times New Roman"/>
          <w:sz w:val="22"/>
          <w:szCs w:val="22"/>
        </w:rPr>
        <w:t>не облагается, в случае если контракт заключается с лицами, не являющимися в соответствии с законодательством РФ о налогах и сборах плательщиками НДС).</w:t>
      </w:r>
    </w:p>
    <w:p w:rsidR="00594975" w:rsidRDefault="008A0DF7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Максимальное значение цены контракта ____________________ рублей_____ копеек. в том числе НДС____.</w:t>
      </w:r>
    </w:p>
    <w:p w:rsidR="00594975" w:rsidRDefault="008A0DF7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(НДС </w:t>
      </w:r>
      <w:r>
        <w:rPr>
          <w:rFonts w:ascii="Times New Roman" w:hAnsi="Times New Roman"/>
          <w:sz w:val="22"/>
          <w:szCs w:val="22"/>
        </w:rPr>
        <w:t>не облагается, в случае если контракт заключается с лицами, не являющимися в соответствии с законодательством РФ о налогах и сборах плательщиками НДС).</w:t>
      </w:r>
    </w:p>
    <w:p w:rsidR="00594975" w:rsidRDefault="008A0DF7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Оплата поставленного Товара осуществляется по цене единицы товара исходя из объема фактически поставленн</w:t>
      </w:r>
      <w:r>
        <w:rPr>
          <w:rFonts w:ascii="Times New Roman" w:hAnsi="Times New Roman"/>
          <w:sz w:val="22"/>
          <w:szCs w:val="22"/>
        </w:rPr>
        <w:t>ого товара, но в размере, не превышающем максимального значения цены контракта, указанного в извещении об осуществлении закупки.</w:t>
      </w:r>
    </w:p>
    <w:p w:rsidR="00594975" w:rsidRDefault="008A0DF7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Порядок определения количества поставленного товара на основании заявок заказчика в соответствии с разделом III настоящего конт</w:t>
      </w:r>
      <w:r>
        <w:rPr>
          <w:rFonts w:ascii="Times New Roman" w:hAnsi="Times New Roman"/>
          <w:sz w:val="22"/>
          <w:szCs w:val="22"/>
        </w:rPr>
        <w:t>ракта.</w:t>
      </w:r>
    </w:p>
    <w:p w:rsidR="00594975" w:rsidRDefault="008A0DF7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 заключении и исполнении настоящего Контракта изменение его существенных условий не допускается, за исключением случаев, предусмотренных Законом № 44-ФЗ.»</w:t>
      </w:r>
    </w:p>
    <w:p w:rsidR="00594975" w:rsidRDefault="008A0DF7">
      <w:pPr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2.2. Цена Контракта (цена единицы Товара) включает в себя: расходы Поставщика, связанные с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исполнением обязательств по настоящему Контракту, в том числе расходы по оплате необходимых налогов, пошлин и сборов, а также расходы на упаковку, маркировку, доставку, разгрузку Товара.</w:t>
      </w:r>
    </w:p>
    <w:p w:rsidR="00594975" w:rsidRDefault="008A0DF7">
      <w:pPr>
        <w:keepNext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2.3. Источник финансирования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Контракта:ФОМС</w:t>
      </w:r>
      <w:proofErr w:type="spellEnd"/>
      <w:proofErr w:type="gramEnd"/>
    </w:p>
    <w:p w:rsidR="00594975" w:rsidRDefault="008A0DF7">
      <w:pPr>
        <w:pStyle w:val="afe"/>
        <w:ind w:left="0"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2.4. Оплата по контракту </w:t>
      </w:r>
      <w:r>
        <w:rPr>
          <w:rFonts w:ascii="Times New Roman" w:hAnsi="Times New Roman"/>
          <w:sz w:val="22"/>
          <w:szCs w:val="22"/>
        </w:rPr>
        <w:t>осуществляется в безналичной форме путем перечисления денежных средств на расчетный счет Поставщика, указанный в Контракте, в течение не более чем семь рабочих дней с даты подписания заказчиком документа о приемке в соответствии со ст.94 Закона №44-ФЗ.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Обя</w:t>
      </w:r>
      <w:r>
        <w:rPr>
          <w:rFonts w:ascii="Times New Roman" w:hAnsi="Times New Roman"/>
          <w:sz w:val="22"/>
          <w:szCs w:val="22"/>
        </w:rPr>
        <w:t>зательства Заказчика по оплате считаются исполненными с момента списания денежных средств с расчетного счета Заказчика.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2.5. Оплата по Контракту осуществляется по безналичному расчету путем перечисления Заказчиком денежных средств на счет Поставщика, указа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нный в настоящем Контракте.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2.6. Заказчик уменьшает суммы, подлежащие уплате Заказчиком Поставщику (юридическому лицу или физическому лицу, в том числе зарегистрированному в качестве индивидуального предпринимателя), на размер налогов, сборов и иных обязат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ельных платежей в бюджеты бюджетной системы Российской Федерации, связанных с оплатой настоящего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джеты бюджетной системы Российской Федерации Заказчиком.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2.7. Датой оплаты считается дата списания денежных средств со счета Заказчика, указанного в настоящем Контракте.</w:t>
      </w:r>
    </w:p>
    <w:p w:rsidR="00594975" w:rsidRPr="008A0DF7" w:rsidRDefault="008A0DF7" w:rsidP="008A0DF7">
      <w:pPr>
        <w:spacing w:line="233" w:lineRule="auto"/>
        <w:ind w:firstLine="708"/>
        <w:jc w:val="both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случаях, предусмотренных ст. 78.1, 78.2 Бюджетного кодекса РФ, допускается при испол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нении контракта изменение по соглашению сторон размера и (или) сроков оплаты и (или) объема товаров (работ, услуг).</w:t>
      </w:r>
    </w:p>
    <w:p w:rsidR="00594975" w:rsidRDefault="00594975">
      <w:pPr>
        <w:spacing w:line="233" w:lineRule="auto"/>
        <w:ind w:firstLine="708"/>
        <w:jc w:val="both"/>
        <w:outlineLvl w:val="2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III. ПОРЯДОК, СРОКИ И УСЛОВИЯ ПОСТАВКИ И ПРИЕМКИ ТОВАРА</w:t>
      </w:r>
    </w:p>
    <w:p w:rsidR="00594975" w:rsidRDefault="00594975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3.1. Товар Заказчику поставляется партиями в соответствии с условиями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настоящего Контракта. Количество Товара в каждой партии определяется на основании Заявки Заказчика на поставку Товара. Заказчик направляет Заявки в пределах срока, установленного настоящим пунктом. При этом направление Заявок за пределами срока, установлен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ного настоящим пунктом, не допускается. Поставка Товара на основании не подписанной Заказчиком Заявки не допускается.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Заявка направляется Заказчиком не позднее чем за 3 рабочих дня до предполагаемой поставки Товара в пределах срока, установленного пунктом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11.1 настоящего Контракта. Заявка может быть направлена по факсу (при наличии), по электронной почте на адрес электронной почты Поставщика указанный в разделе XIV Контракта.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Поставка Товара по Заявкам осуществляется в течение 3 рабочих дней со дня отправк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и Заявки Заказчиком.</w:t>
      </w:r>
    </w:p>
    <w:p w:rsidR="00594975" w:rsidRPr="008A0DF7" w:rsidRDefault="008A0DF7" w:rsidP="008A0DF7">
      <w:pPr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Порядок определения количества поставляемого Товара на основании Заявок Заказчика включает в себя учет объемов поставляемых по Заявкам Товаров (позиций Товаров) исходя из определения такого объема как частное от деления максимальной цены Контракта (максима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льной цены позиции Товара, указанной в </w:t>
      </w:r>
      <w:r>
        <w:rPr>
          <w:rFonts w:ascii="Times New Roman" w:eastAsiaTheme="minorHAnsi" w:hAnsi="Times New Roman" w:cs="Times New Roman"/>
          <w:color w:val="0000FF"/>
          <w:sz w:val="22"/>
          <w:szCs w:val="22"/>
          <w:lang w:eastAsia="en-US"/>
        </w:rPr>
        <w:t>Приложении № 1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к настоящему Контракту), к цене единицы такого Товара (позиции Товара). Объем поставляемых по Заявкам Товаров (позиций Товаров) учитывается с нарастающим итогом и не должен превышать максимальную цену К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онтракта с учетом распределения по позициям Товара (при их наличии), указанного в </w:t>
      </w:r>
      <w:r>
        <w:rPr>
          <w:rFonts w:ascii="Times New Roman" w:eastAsiaTheme="minorHAnsi" w:hAnsi="Times New Roman" w:cs="Times New Roman"/>
          <w:color w:val="0000FF"/>
          <w:sz w:val="22"/>
          <w:szCs w:val="22"/>
          <w:lang w:eastAsia="en-US"/>
        </w:rPr>
        <w:t>Приложении № 1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к настоящему Контракту.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3.2. Поставка Товара по Заявке осуществляется Поставщиком по адресу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>660064, Россия, г. Красноярск, Проспект им. газеты «Красноярск</w:t>
      </w:r>
      <w:r>
        <w:rPr>
          <w:rFonts w:ascii="Times New Roman" w:hAnsi="Times New Roman" w:cs="Times New Roman"/>
          <w:sz w:val="22"/>
          <w:szCs w:val="22"/>
        </w:rPr>
        <w:t xml:space="preserve">ий рабочий», 170, Краевое государственное бюджетное учреждение здравоохранения «Красноярский межрайонный родильный дом № 2» 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3.3. В день доставки Товара по адресу поставки Товара, указанному в соответствии с условиями настоящего Контракта Поставщик обязан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передать Заказчику подписанные со своей стороны товарную накладную по форме № ТОРГ-12или универсальный передаточный документ (далее – УПД) в 2 (двух) экземплярах (по 1 (одному) экземпляру для каждой из Сторон).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день доставки Товара Заказчик осуществляет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приемку Товара по количеству упаковок Товара, комплекту, явным видимым повреждениям упаковки и качеству Товара.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Для проверки поставленного Товара в части соответствия Товара (результатов отдельного этапа исполнения Контракта) условиям настоящего Контракта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Заказчик проводит экспертизу. Экспертиза поставленного Товара может проводиться Заказчиком своими силами, или к ее проведению могут привлекаться независимые эксперты (экспертные организации) на основании контрактов, заключенных в соответствии с Законом № 4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4-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ФЗ .</w:t>
      </w:r>
      <w:proofErr w:type="gramEnd"/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рамках экспертизы поставленного Товара (результатов отдельного этапа исполнения Контракта) на соответствие условиям настоящего Контракта Заказчиком своими силами или с привлечением независимых экспертов (экспертных организаций) на основании контра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ктов, заключенных в соответствии с Законом № 44-ФЗ , не реже 5 раз в течение срока действия Контракта, указанного в пункте 11.1 настоящего Контракта, проводятся исследования Товара на предмет качества и безопасности, в том числе фальсификации Товара.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Заказ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чик вправе для проведения экспертизы Товара (результатов отдельного этапа исполнения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Контракта)осуществлять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выборочную проверку качества и безопасности Товара до 100 процентов от количества партии каждого наименования Товара для подтверждения его соответст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вия условиям настоящего Контракта в момент передачи Товара Заказчику на складе Поставщика до отгрузки Товара.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Выборочная проверка качества и безопасности Товара (результатов отдельного этапа исполнения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Контракта)осуществляется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 течение сроков, установленн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ых настоящим Контрактом для приемки Товара.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 результатам проведенной экспертизы Товара, в том числе выборочной проверки качества и безопасности Товара (результатов отдельного этапа исполнения Контракта), Заказчик составляет заключение об отсутствии или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наличии нарушений условий настоящего Контракта, а также об отсутствии или наличии нарушений в части качества и безопасности Товара.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случае если по результатам такой экспертизы установлены нарушения условий настоящего Контракта (результатов отдельного эта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па исполнения Контракта), за исключением условий, касающихся качества и безопасности Товара, не препятствующие приемке поставленного Товара, в заключении могут содержаться предложения об устранении данных нарушений, в том числе с указанием срока их устране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ния.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Заказчик вправе не отказывать в приемке поставленного Товара в случае выявления несоответствия этого Товара условиям настоящего Контракта, за исключением условий, касающихся качества и безопасности Товара, если выявленное несоответствие не препятствуе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т приемке Товара и устранено Поставщиком.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При отсутствии претензий относительно количества Товара, комплектности, упаковки Товара, комплекта, качества и безопасности Товара (результатов отдельного этапа исполнения Контракта), в том числе на основании заклю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чения по результатам экспертизы, проведенной путем выборочной проверки качества и безопасности Товара, Заказчик подписывает товарную накладную по форме N ТОРГ-12 или УПД в течение 2 рабочих дней с момента доставки Товара.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Мотивированный отказ направляется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случае обнаружения Заказчиком нарушений условий настоящего Контракта, в том числе требований к количеству Товара, комплектности, упаковке Товара, комплекту, качеству и безопасности Товара. После устранения недостатков, послуживших основанием для направле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ния мотивированного отказа, Поставщик повторно направляет Заказчику документы, определенные в настоящем пункте. Заказчик рассматривает указанные документы и подписывает со своей стороны в порядке и сроки, предусмотренные настоящим пунктом.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случае привлеч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ения Заказчиком для проведения экспертизы поставленного Товара (результатов отдельного этапа исполнения Контракта) экспертов, экспертных организаций при принятии решения о приемке или об отказе в приемке Товара Заказчик должен учитывать отраженные в заключ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ении по результатам указанной экспертизы предложения экспертов, экспертных организаций, привлеченных для ее проведения.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случае обнаружения Заказчиком нарушений условий настоящего Контракта, в том числе требований к количеству Товара, комплектности, упако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вке Товара, комплекту, качеству и безопасности Товара (результатов отдельного этапа исполнения Контракта) Поставщик вправе без дополнительной оплаты со стороны Заказчика устранить выявленные нарушения (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допоставить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доукомплектовать, заменить Товар) в срок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не позднее 2 рабочих дней со дня получения от Заказчика мотивированного отказа. Допоставка недопоставленного, доукомплектование или замена некачественного Товара оформляется соответствующей товарной накладной по форме N ТОРГ-12 или УПД в порядке, предусмот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ренном настоящим разделом.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случае повторного выявления по результатам экспертизы, предусмотренной настоящим пунктом, нарушений условий настоящего Контракта Заказчик вправе отказаться от исполнения настоящего Контракта по основаниям, предусмотренным гражд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анским законодательством Российской Федерации.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По факту поставки Товара в течение 2 рабочих дней Поставщик формирует, подписывает и размещает в единой информационной системе в сфере закупок документ о приемке в соответствии с ч.13 ст.94 Закона №44-ФЗ, а та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кже предоставляет Заказчику счет и (или) счет-фактуру.</w:t>
      </w:r>
    </w:p>
    <w:p w:rsidR="00594975" w:rsidRDefault="008A0DF7">
      <w:pPr>
        <w:pStyle w:val="afe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Заказчик в течение 20 рабочих дней со дня, следующего за днем получения документа о приемке в соответствии с ч.13 ст.94 Закона №44-ФЗ, подписывает и направляет Поставщику указанный документ или направл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яет мотивированный отказ в единой информационной системе в сфере закупок.</w:t>
      </w:r>
    </w:p>
    <w:p w:rsidR="00594975" w:rsidRDefault="008A0DF7" w:rsidP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3.4. Срок поставки Товара: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 даты заключения контракта по 31.12.2024 г.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Периодичность поставки: по заявкам Заказчика, по заявке Заказчика один раз в неделю. Время поставки в часы рабо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ты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Заказчика с 08:00 до 15:00 часов (обеденный перерыв с 12:00-12:30 ч), выходной: нет.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3.5. Право собственности на Товар, риск утраты, случайной гибели или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повреждения Товара переходят от Поставщика к Заказчику с момента подписания Сторонами товарной накладной по форме N ТОРГ-12 либо УПД.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3.6. Поставщик обязан одновременно с передачей Товара передать Заказчику относящиеся к нему документы, предусмотренные зак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онодательством Российской Федерации, производителем Товара и настоящим Контрактом.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3.7. Сдача и приемка Товара осуществляются уполномоченными представителями Сторон.</w:t>
      </w:r>
    </w:p>
    <w:p w:rsidR="00594975" w:rsidRDefault="00594975">
      <w:pPr>
        <w:keepNext/>
        <w:keepLines/>
        <w:ind w:firstLine="708"/>
        <w:jc w:val="both"/>
        <w:rPr>
          <w:rFonts w:ascii="Times New Roman" w:hAnsi="Times New Roman" w:cs="Times New Roman"/>
          <w:sz w:val="22"/>
          <w:szCs w:val="22"/>
          <w:highlight w:val="magenta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IV. ВЗАИМОДЕЙСТВИЕ СТОРОН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4.1. Поставщик обязан: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4.1.1. Поставить Товар в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порядке, количестве, в срок и на условиях, предусмотренных настоящим Контрактом.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4.1.2. Обеспечить соответствие поставляемого Товара требованиям качества, безопасности, иным требованиям, установленным стандартами, техническими регламентами и санитарно-эпид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емиологическими требованиями, а также требованиям, установленным настоящим Контрактом. Во исполнение указанных требований Поставщик при передаче Товара обязан предоставить Заказчику, в том числе, документ, подтверждающий государственную регистрацию Товара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(при его наличии в соответствии с требованиями законодательства Российской Федерации).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4.1.3. В случае принятия решения об одностороннем отказе от исполнения настоящего Контракта направить Заказчику такое решение в сроки и порядке, установленные ст.95 Зако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на № 44-ФЗ.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4.1.4. Предоставлять Заказчику по его требованию документы, относящиеся к предмету настоящего Контракта, а также своевременно предоставлять Заказчику достоверную информацию о ходе исполнения своих обязательств, в том числе о сложностях, возник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ающих при исполнении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4.1.5. Известить Заказчика о сроке поставки Товара.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4.1.6. Осуществить выгрузку и занести товар в помещение, указанное Заказчиком в момент поставки.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4.1.7. Предоставить копии сертификатов соответствия и/или деклар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аций о соответствии, заверенные надлежащим образом, в случае если товар подлежит обязательной сертификации (обязательному декларированию соответствия). Удостоверения о качестве и безопасности (качественные удостоверения), лабораторные испытания (при необхо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димости) и другие документы, согласно установленным Госстандартом Российской Федерации требованиям, необходимым для дальнейшего использования товара,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санитарно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эпидемиологического заключения о соответствии СанПиН) и иные документы, установленные для данн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ого вида товара, которые являются неотъемлемой принадлежностью товара и направляются Заказчику одновременно с каждой партией товара без дополнительной оплаты.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4.1.8. Обеспечить соблюдение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требований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установленных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Федеральным законом от 02.01.2000 № 29-ФЗ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«О качестве и безопасности пищевых продуктов»; Федеральным законом от 30.03.1999 № 52-ФЗ «О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санитарно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эпидемиологическом благополучии населения»; действующими СанПиН.</w:t>
      </w:r>
    </w:p>
    <w:p w:rsidR="00594975" w:rsidRDefault="008A0DF7">
      <w:pPr>
        <w:shd w:val="clear" w:color="auto" w:fill="FFFFFF"/>
        <w:tabs>
          <w:tab w:val="left" w:pos="1701"/>
          <w:tab w:val="left" w:pos="241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4.1.9. Осуществить контроль за доставкой Товара.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4.1.10. Если Поставщик не является пла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тельщиком НДС: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Поставщик обязан оформлять товарные накладные по форме N ТОРГ-12 или УПД в соответствии с законодательством Российской Федерации.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Если Поставщик является плательщиком НДС: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Поставщик обязан оформлять товарные накладные по форме N ТОРГ-12 или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УПД в соответствии с законодательством Российской Федерации, а также счета-фактуры в соответствии с налоговым законодательством Российской Федерации.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4.2. Поставщик вправе: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4.2.1. Требовать от Заказчика произвести приемку Товара в порядке и в сроки,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предусмотренные настоящим Контрактом.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4.2.2. Требовать своевременной оплаты на условиях, установленных настоящим Контрактом, надлежащим образом поставленного и принятого Заказчиком Товара.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4.2.3. Принять решение об одностороннем отказе от исполнения настоя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щего Контракта в соответствии с гражданским законодательством Российской Федерации.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4.2.4. Требовать возмещения убытков, уплаты неустоек (штрафов, пеней) в соответствии с разделом VII настоящего Контракта.</w:t>
      </w:r>
    </w:p>
    <w:p w:rsidR="00594975" w:rsidRDefault="008A0DF7">
      <w:pPr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4.2.5. Обеспечить за свой счет устранение выявленн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условиях, предусмотренных настоящим Контрактом в случае получения мотивированного отказа.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4.3. Заказчик обязуется: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4.3.1. Обеспечить своевременную оплату поставленного Товара, соответствующего условиям настоящего Контракта, в порядке и сроки, предусмотренные настоящим Контрактом.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4.3.2.  Принять решение об одностороннем отказе от исполнения настоящего Контракта в случа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е, если в ходе исполнения контракта установлено, что: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а) поставщик и (или) поставляемый товар перестали соответствовать установленным извещением об осуществлении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закупки  требованиям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 участникам закупки (за исключением требования, предусмотренного частью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1.1 (при наличии такого требования) статьи 31 Закона № 44-ФЗ и (или) поставляемому товару;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б) при определении поставщика поставщик представил недостоверную информацию о своем соответствии и (или) соответствии поставляемого товара требованиям, указанным в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подпункте "а" настоящего пункта, что позволило ему стать победителем определения поставщика.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4.3.3. Реализация решения Заказчика об одностороннем отказе от исполнения контракта осуществляется в соответствии с положениями статьи 95 Закона №44-ФЗ.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4.3.4. Тр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ебовать уплаты неустоек (штрафов, пеней) в соответствии с разделом VII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4.3.5. Обеспечить своевременную приемку поставленного Товара, соответствующего условиям настоящего Контракта, в порядке и сроки, предусмотренные настоящим Контракт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ом, провести экспертизу поставленного Товара для проверки его соответствия условиям настоящего Контракта в соответствии с Законом N 44-ФЗ и настоящим Контрактом.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4.4. Заказчик вправе: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4.4.1. Требовать от Поставщика надлежащего исполнения обязательств по на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стоящему Контракту.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4.4.2. Требовать от Поставщика своевременного устранения нарушений, выявленных как в ходе приемки, так и в течение срока годности.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4.4.3. Проверять ход и качество выполнения Поставщиком условий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4.4.4. Требовать воз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мещения убытков в соответствии с разделом VII настоящего Контракта, причиненных по вине Поставщика.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4.4.5. Отказаться от приемки и оплаты Товара, не соответствующего условиям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4.4.6. Принять решение об одностороннем отказе от исполнени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я настоящего Контракта в соответствии с гражданским законодательством Российской Федерации.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4.4.7. До принятия решения об одностороннем отказе от исполнения настоящего Контракта провести экспертизу поставленного Товара с привлечением экспертов, экспертных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организаций, выбор которых осуществляется в соответствии с Законом N 44-ФЗ.»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Pr="008A0DF7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V. УПАКОВКА ТОВАРА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5.1. Товар должен передаваться Заказчику в упаковке, соответствующей установленным обязательным требованиям к безопасности и характеру груза, предохраняющей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его от всякого рода повреждения или порчи и обеспечивающей сохранность в течение всего срока годности Товара.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5.2. Упаковка Товара, имеющая внешние дефекты, которые не позволяют использовать ее для обеспечения сохранности Товара при транспортировке и хране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нии, возвращается Поставщику вместе с Товаром, находящимся в ней, в порядке, определенном пунктом 3.3 раздела III настоящего Контракта. Такой Товар не засчитывается в счет исполнения обязательств по настоящему Контракту.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5.3. Поставщик несет ответственност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ь перед Заказчиком за повреждение Товара вследствие его ненадлежащей упаковки.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5.4. На упаковке должна быть маркировка, содержащая информацию согласно части 4.1 статьи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4 технического регламента Таможенного союза «Пищевая продукция в части ее маркировки», у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твержденного решением Комиссии Таможенного союза от 9 декабря 2011 г. N 881, а также информацию согласно иным техническим регламентам на отдельные виды Товара.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5.5. Поставщик обязан обеспечить в соответствии с требованиями законодательства Российской Федер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ации надлежащие условия хранения и перевозки, установленные изготовителем Товара, необходимые для сохранения качества и безопасности Товара.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5.6. Если поставляемый Товар нуждается в поддержании определенного температурного режима, согласно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условиям хранени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я Товара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Поставщик обязан соблюдать данные условия хранения Товара при поставке.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5.7. Поставка пищевых продуктов должна сопровождаться документами, подтверждающими безопасность поставляемых товаров, предусмотренными действующим законодательством Российско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й Федерации для данного вида товара. В случае, если поставляемые продукты включены в перечень подконтрольных товаров, подлежащих сопровождению ветеринарными сопроводительными документами, утвержденный приказом Минсельхоза России от 18 декабря 2015 г. № 648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к таким документам также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относятся  ветеринарные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сопроводительные документы, оформленные в электронном виде через систему «Меркурий» (если это предусмотрено действующим законодательством для данного вида продукции).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5.8. Скоропортящийся груз (товар) долж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ен перевозится с соблюдением температурного режима, определенного условиями его перевозки, обеспечивающими сохранность его потребительских свойств. Перевозка скоропортящихся грузов автомобильным транспортом в городском, пригородном и междугородном сообщени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и осуществляется в соответствии с требованиями, установленными Соглашением о международных перевозках скоропортящихся пищевых продуктов и о специальных транспортных средствах, предназначенных для этих перевозок, подписанным в г. Женеве 1 сентября 1970 г.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СПС), и Правилами, утвержденными Постановлением Правительства РФ № 2200 от 21 декабря 2020 г. «Об утверждении Правил перевозок грузов автомобильным транспортом и о внесении изменений в пункт 2.1.1 Правил дорожного движения Российской Федерации».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5.9. В слу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чае, если предусмотрено действующим законодательством, Поставщик обязан оформлять поставляемый Товар Заказчику в соответствии с Приказ Минсельхоза России от 13.12.2022 № 862 «Об утверждении Ветеринарных правил организации работы по оформлению ветеринарных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носителях», Приказом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Россельхознадзора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от 30.01.2018 № 53 «Об утверждении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Методических указаний по обеспечению функционирования Федеральной государственной информационной системы в области ветеринарии»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VI. КАЧЕСТВО ТОВАРА, СРОК ГОДНОСТИ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6.1. Поставщик гарантирует безопасность Товара в соответствии с техническими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регламентами, санитарно-эпидемиологическими требованиями и иными нормативными правовыми актами Российской Федерации, устанавливающими требования к качеству Товара.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6.2. Товар не должен представлять опасности для жизни и здоровья граждан.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6.3. Товар должен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быть пригодным для целей, для которых Товар такого рода обычно используется, и соответствовать условиям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6.4. Остаточный срок годности Товара устанавливается Заказчиком в Спецификации (Приложение N 1 к настоящему Контракту).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Товар долж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ен соответствовать требованиям, предъявляемым к качеству Товара в момент его передачи, в течение остаточного срока годности, установленного настоящим Контрактом.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Заказчик предъявляет претензии по качеству Товара в течение остаточного срока годности Товара.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6.5. В течение остаточного срока годности Товара Поставщик обязан за свой счет заменить Товар ненадлежащего качества, если не докажет, что недостатки Товара возникли в результате нарушения Заказчиком правил хранения Товара. Замена Товара производится в те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чение 5 рабочих дней с момента уведомления Заказчиком Поставщика.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случае если по результатам экспертизы, указанной в пункте 3.3 раздела III настоящего Контракта, выявлено нарушение условий настоящего Контракта в части качества и безопасности Товара и (ил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и) установлен факт фальсификации Товара, Поставщик осуществляет поставку Товара надлежащего качества и соответствующего требованиям безопасности в объеме партии Товара,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поставленного Заказчику, образец из которой был исследован в рамках указанной экспертиз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ы.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VII. ОТВЕТСТВЕННОСТЬ СТОРОН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7.1.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7.2. В случае неисполнения Постав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щиком условий настоящего Контракта Заказчик вправе обратиться в суд с требованием о расторжении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7.3. В случае полного (частичного) неисполнения условий настоящего Контракта одной из Сторон эта Сторона обязана возместить другой Стороне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причиненные убытки.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7.4. За неисполнение или ненадлежащее исполнение обязательств, предусмотренных контрактом, стороны несут ответственность в соответствии с настоящим Контрактом и действующим законодательством Российской Федерации, в размере, установленн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ым положениями Закона № 44-ФЗ и Постановлением Правительства РФ  от 30.08.2017 № 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о внесении изменений в Постановление Правительства Российской Федерации от 15 мая 2017 г.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№ 570 и признании утратившим силу Постановления Правительства Российской Федерации от 25 ноября 2013 г. № 1063» (далее – Постановление Правительства РФ от 30.08.2017 № 1042).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7.5. Убытки, возникшие вследствие неисполнения либо ненадлежащего исполнения Сто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ронами обязательств по Контракту, возмещаются в объеме и порядке, предусмотренном законодательством Российской Федерации. 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7.6.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В случае просрочки исполнения заказчиком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поставщик  вправе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потребовать уплаты неустоек (штрафов, пеней). </w:t>
      </w:r>
    </w:p>
    <w:p w:rsidR="00594975" w:rsidRDefault="008A0DF7">
      <w:pPr>
        <w:keepNext/>
        <w:tabs>
          <w:tab w:val="left" w:pos="540"/>
          <w:tab w:val="left" w:pos="1418"/>
        </w:tabs>
        <w:suppressAutoHyphens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Пеня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начисляется за каждый ден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Такая пеня устанавливается контрактом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в размере одной трехсотой действующей на дату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уплаты пеней ключевой ставки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Центрального банка Российской Федерации от не уплаченной в срок суммы.</w:t>
      </w:r>
    </w:p>
    <w:p w:rsidR="00594975" w:rsidRDefault="008A0DF7">
      <w:pPr>
        <w:keepNext/>
        <w:tabs>
          <w:tab w:val="left" w:pos="540"/>
          <w:tab w:val="left" w:pos="1418"/>
        </w:tabs>
        <w:suppressAutoHyphens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отренных контрактом. Размер штрафа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устанавливается контрактом в порядке, установленном Правительством Российской Федерации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594975" w:rsidRDefault="008A0DF7">
      <w:pPr>
        <w:keepNext/>
        <w:tabs>
          <w:tab w:val="left" w:pos="540"/>
          <w:tab w:val="left" w:pos="1418"/>
        </w:tabs>
        <w:suppressAutoHyphens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За каждый факт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неисполнения заказчиком обязательств, предусмотренных контрактом, за исключением просрочки исполнения обязательств, п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редусмотренных контрактом, размер штрафа устанавливается в следующем порядке:</w:t>
      </w:r>
    </w:p>
    <w:p w:rsidR="00594975" w:rsidRDefault="008A0DF7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а) 1000 рублей, если цена контракта не превышает 3 млн. рублей (включительно);</w:t>
      </w:r>
    </w:p>
    <w:p w:rsidR="00594975" w:rsidRDefault="008A0DF7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б) 5000 рублей, если цена контракта составляет от 3 млн. рублей до 50 млн. рублей (включительно);</w:t>
      </w:r>
    </w:p>
    <w:p w:rsidR="00594975" w:rsidRDefault="008A0DF7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в) 10000 рублей, если цена контракта составляет от 50 млн. рублей до 100 млн. рублей (включительно);</w:t>
      </w:r>
    </w:p>
    <w:p w:rsidR="00594975" w:rsidRDefault="008A0DF7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г) 100000 рублей, если цена контракта превышает 100 млн. рублей.</w:t>
      </w:r>
    </w:p>
    <w:p w:rsidR="00594975" w:rsidRDefault="008A0DF7">
      <w:pPr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Общая сумма начисленных штрафов за ненадлежащее исполнение заказчиком обязательств, предус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мотренных контрактом, не может превышать цену контракта.</w:t>
      </w:r>
    </w:p>
    <w:p w:rsidR="00594975" w:rsidRDefault="008A0DF7">
      <w:pPr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7.7.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В случае просрочки исполнения поставщиком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Пеня начисляется за каждый день просрочки исполнения поставщиком обязательства, предусмотренного контрактом, начиная со дня, сл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едующего после дня истечения установленного контрактом срока исполнения обязательства, и устанавливается контрактом в размере одной трехсотой действующей на дату уплаты пени ключевой ставки Центрального банка Российской Федерации от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цены контракта (отдельн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ого этапа исполнения контракта), уменьшенной на сумму, пропорциональную объему обязательств, предусмотренных контрактом (соответствующим отдельным этапом исполнения контракта) и фактически исполненных поставщиком, за исключением случаев, если законодательс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твом Российской Федерации установлен иной порядок начисления пени.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7.8. За каждый день просрочки исполнения Поставщиком обязательства, предусмотренного частью 30 статьи 34 Закона N 44-ФЗ, начисляется пеня в размере, определенном в порядке, установленном в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пункте 7.7 настоящего Контракта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7.9. </w:t>
      </w:r>
      <w:r>
        <w:rPr>
          <w:rFonts w:ascii="Times New Roman" w:hAnsi="Times New Roman"/>
          <w:color w:val="000000" w:themeColor="text1"/>
          <w:sz w:val="22"/>
          <w:szCs w:val="22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 предусмотренных контрактом. Размер штрафа устанавливается контрактом в порядке, установленном Правительством Российской Федерации, за исключением случаев, если законодательством Российской Федерации установлен иной порядок начисления штрафов.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За каждый фа</w:t>
      </w:r>
      <w:r>
        <w:rPr>
          <w:rFonts w:ascii="Times New Roman" w:hAnsi="Times New Roman"/>
          <w:color w:val="000000" w:themeColor="text1"/>
          <w:sz w:val="22"/>
          <w:szCs w:val="22"/>
        </w:rPr>
        <w:t>кт неисполнения или ненадлежащего исполнения поставщиком обязательства, предусмотренного контрактом, которое не имеет стоимостного выражения, размер штрафа устанавливается (при наличии в контракте таких обязательств) в следующем порядке: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а) 1000 рублей, ес</w:t>
      </w:r>
      <w:r>
        <w:rPr>
          <w:rFonts w:ascii="Times New Roman" w:hAnsi="Times New Roman"/>
          <w:color w:val="000000" w:themeColor="text1"/>
          <w:sz w:val="22"/>
          <w:szCs w:val="22"/>
        </w:rPr>
        <w:t>ли цена контракта не превышает 3 млн. рублей;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б) 5000 рублей, если цена контракта составляет от 3 млн. рублей до 50 млн. рублей (включительно);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в) 10000 рублей, если цена контракта составляет от 50 млн. рублей до 100 млн. рублей (включительно);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г) 100000 р</w:t>
      </w:r>
      <w:r>
        <w:rPr>
          <w:rFonts w:ascii="Times New Roman" w:hAnsi="Times New Roman"/>
          <w:color w:val="000000" w:themeColor="text1"/>
          <w:sz w:val="22"/>
          <w:szCs w:val="22"/>
        </w:rPr>
        <w:t>ублей, если цена контракта превышает 100 млн. рублей.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За каждый факт неисполнения или ненадлежащего исполнения Поставщиком обязательств, предусмотренных Контрактом, заключенным по результатам определения Поставщика в соответствии с пунктом 1 части 1 статьи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 30 Закона № 44-ФЗ,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в размере 1 процента цены контракта (этапа), но не более 5 тыс. рублей и не менее 1 тыс</w:t>
      </w:r>
      <w:r>
        <w:rPr>
          <w:rFonts w:ascii="Times New Roman" w:hAnsi="Times New Roman"/>
          <w:color w:val="000000" w:themeColor="text1"/>
          <w:sz w:val="22"/>
          <w:szCs w:val="22"/>
        </w:rPr>
        <w:t>. рублей.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За каждый факт неисполнения или ненадлежащего исполнения поставщиком обязательств, предусмотренных контрактом, заключенным с победителем закупки (или с иным участником закупки в случаях, установленных Законом № 44-ФЗ), предложившим наиболее высок</w:t>
      </w:r>
      <w:r>
        <w:rPr>
          <w:rFonts w:ascii="Times New Roman" w:hAnsi="Times New Roman"/>
          <w:color w:val="000000" w:themeColor="text1"/>
          <w:sz w:val="22"/>
          <w:szCs w:val="22"/>
        </w:rPr>
        <w:t>ую цену за право заключения контракта, размер штрафа рассчитывается в порядке, установленном настоящими Правилами, за исключением просрочки исполнения обязательств (в том числе гарантийного обязательства), предусмотренных контрактом, и устанавливается в сл</w:t>
      </w:r>
      <w:r>
        <w:rPr>
          <w:rFonts w:ascii="Times New Roman" w:hAnsi="Times New Roman"/>
          <w:color w:val="000000" w:themeColor="text1"/>
          <w:sz w:val="22"/>
          <w:szCs w:val="22"/>
        </w:rPr>
        <w:t>едующем порядке: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а) в случае, если цена контракта не превышает начальную (максимальную) цену контракта: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10 процентов начальной (максимальной) цены контракта, если цена контракта не превышает 3 млн. рублей;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5 процентов начальной (максимальной) цены контракт</w:t>
      </w:r>
      <w:r>
        <w:rPr>
          <w:rFonts w:ascii="Times New Roman" w:hAnsi="Times New Roman"/>
          <w:color w:val="000000" w:themeColor="text1"/>
          <w:sz w:val="22"/>
          <w:szCs w:val="22"/>
        </w:rPr>
        <w:t>а, если цена контракта составляет от 3 млн. рублей до 50 млн. рублей (включительно);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1 процент начальной (максимальной) цены контракта, если цена контракта составляет от 50 млн. рублей до 100 млн. рублей (включительно);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б) в случае, если цена контракта пре</w:t>
      </w:r>
      <w:r>
        <w:rPr>
          <w:rFonts w:ascii="Times New Roman" w:hAnsi="Times New Roman"/>
          <w:color w:val="000000" w:themeColor="text1"/>
          <w:sz w:val="22"/>
          <w:szCs w:val="22"/>
        </w:rPr>
        <w:t>вышает начальную (максимальную) цену контракта: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10 процентов цены контракта, если цена контракта не превышает 3 млн. рублей;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5 процентов цены контракта, если цена контракта составляет от 3 млн. рублей до 50 млн. рублей (включительно);</w:t>
      </w:r>
    </w:p>
    <w:p w:rsidR="00594975" w:rsidRDefault="008A0DF7">
      <w:pPr>
        <w:ind w:firstLine="5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1 процент цены контра</w:t>
      </w:r>
      <w:r>
        <w:rPr>
          <w:rFonts w:ascii="Times New Roman" w:hAnsi="Times New Roman"/>
          <w:color w:val="000000" w:themeColor="text1"/>
          <w:sz w:val="22"/>
          <w:szCs w:val="22"/>
        </w:rPr>
        <w:t>кта, если цена контракта составляет от 50 млн. рублей до 100 млн. рублей (включительно).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7.10. Применение неустойки (штрафа, пени) не освобождает Стороны от исполнения обязательств по настоящему Контракту.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7.11. Общая сумма начисленных штрафов за неисполне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ние или ненадлежащее исполнение Поставщиком обязательств, предусмотренных настоящим Контрактом, не может превышать цену Контракта.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7.12. Общая сумма начисленных штрафов за ненадлежащее исполнение Заказчиком обязательств, предусмотренных настоящим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Контрактом, не может превышать цену Контракта.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7.13.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ущерба, неп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осредственно обусловленного обстоятельствами, являющимися основанием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для принятия решения об одностороннем отказе от исполнения настоящего Контракта.</w:t>
      </w:r>
    </w:p>
    <w:p w:rsidR="00594975" w:rsidRDefault="008A0DF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7.14. </w:t>
      </w:r>
      <w:r>
        <w:rPr>
          <w:rFonts w:ascii="Times New Roman" w:hAnsi="Times New Roman" w:cs="Times New Roman"/>
          <w:sz w:val="22"/>
          <w:szCs w:val="22"/>
        </w:rPr>
        <w:t xml:space="preserve">Заказчик удерживает сумму неисполненных Поставщиком требований об уплате неустоек (штрафов, пеней), </w:t>
      </w:r>
      <w:r>
        <w:rPr>
          <w:rFonts w:ascii="Times New Roman" w:hAnsi="Times New Roman" w:cs="Times New Roman"/>
          <w:sz w:val="22"/>
          <w:szCs w:val="22"/>
        </w:rPr>
        <w:t>предъявленных Заказчиком в соответствии с Законом № 44-ФЗ, из суммы, подлежащей оплате Поставщику.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7.15. 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контрактом, произошло вследствие непреодолимой силы или по вине другой стороны.</w:t>
      </w:r>
    </w:p>
    <w:p w:rsidR="00594975" w:rsidRDefault="00594975">
      <w:pPr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VIII. ОБЕСПЕЧЕНИЕ ИСПОЛНЕНИЯ КОНТРАКТА </w:t>
      </w:r>
    </w:p>
    <w:p w:rsidR="00594975" w:rsidRDefault="00594975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594975" w:rsidRDefault="008A0DF7">
      <w:pPr>
        <w:ind w:firstLine="54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594975" w:rsidRPr="008A0DF7" w:rsidRDefault="008A0DF7" w:rsidP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8.1. Обеспечение исполнения Поставщиком обязательств по настоящему Контракту, установлено в размере 10,00 % от максимального значени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я цены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8.2. Обеспечение исполнения настоящего Контракта обеспечивает все обязательства Поставщика, предусмотренные настоящим Контрактом, включая: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- исполнение основного обязательства по поставке Товара;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- предоставление Поставщиком Заказчику п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редусмотренных настоящим Контрактом и приложениями к нему результатов, включая отчетные документы;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- соблюдение срока поставки;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- возмещение убытков, причиненных Заказчику Поставщиком в результате ненадлежащего исполнения, неисполнения предусмотренного нас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тоящим Контрактом и приложениями к нему обязательства последнего, а также обязанность выплаты неустойки (пени, штрафа), предусмотренной настоящим Контрактом.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Денежные средства, внесенные Поставщиком в обеспечение исполнения Контракта, могут быть обращены к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взысканию во внесудебном порядке.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8.3. Исполнение настоящего Контракта может обеспечиваться предоставлением независимой гарантии, соответствующей требованиям ст. 45 Закона № 44-ФЗ, или внесением денежных средств на указанный в настоящем Контракте счет Зак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азчика. Способ обеспечения исполнения контракта, срок действия независимой гарантии определяются в соответствии с требованиями Закона №44-ФЗ участником закупки, с которым заключается контракт, самостоятельно. </w:t>
      </w:r>
    </w:p>
    <w:p w:rsidR="00594975" w:rsidRDefault="008A0DF7">
      <w:pPr>
        <w:pStyle w:val="af5"/>
        <w:spacing w:after="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Контракт заключается после предоста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вления Поставщиком, с которым заключается Контракт, обеспечения исполнения Контракта в соответствии с настоящим Законом № 44-ФЗ.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8.4. В случае если обеспечение исполнения настоящего Контракта представлено в форме независимой гарантии, срок действия такой г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арантии должен превышать предусмотренный настоящим Контрактом срок исполнения обязательств, которые должны быть обеспечены такой гарантией, не менее чем на один месяц, в том числе в случае его изменения в соответствии со статьей 95 Закона № 44-ФЗ.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8.5. В х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оде исполнения настоящего Контракта Поставщик вправе изменить способ обеспечения исполнения Контракта и (или)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размер которого может быть уменьшен в порядке и случаях, которые предусмотрены частями 7.2 и 7.3 статьи 96 Закона № 44-ФЗ.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8.6. Денежные средства, внесенные Поставщиком в качестве обеспечения исполнения настоящего Контракта (если такая форма обеспечения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исполнения настоящего Контракта применяется), в том числе части этих денежных средств, в случае уменьшения размера обеспечения исполнения настоящего Контракта в соответствии с частями 7, 7.1 и 7.2 статьи 96 Закона № 44-ФЗ возвращаются Поставщику в течение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15 (пятнадцати) дней с даты исполнения Поставщиком своих обязательств по настоящему Контракту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Обеспечение должно быть возвращено на счет, указанный Поставщиком.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8.7. В независимую гарантию включается условие об обязанности гаранта уплатить заказчику (бене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фициару) денежную сумму по независимой гарантии не позднее десяти рабочих дней со дня, следующего за днем получения гарантом требования заказчика (бенефициара), соответствующего условиям такой независимой гарантии, при отсутствии предусмотренных Граждански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м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кодексом Российской Федерации оснований для отказа в удовлетворении этого требования.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8.8. В случае отзыва в соответствии с законодательством Российской Федерации у банка, предоставившего независимую гарантию в качестве обеспечения исполнения настоящего Контракта (если такая форма обеспечения исполнения настоящего Контракта применяется пост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авщиком),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тствующее обеспечение. Размер такого обеспечения может быть уменьшен в порядке и случаях, которые предусмотрены частями 7, 7.1, 7.2 и 7.3 статьи 96 Закона № 44-ФЗ.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8.9. Размер обеспечения исполнения Контракта уменьшается посредством направления Заказчиком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Контрактов, предусмотренный ст. 103 Закона № 44-ФЗ. Уменьшение размера обеспечения исполнения Контракта произво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дится пропорционально стоимости исполненных обязательств, приемка и оплата которых осуществлены в порядке и сроки, которые предусмотрены Контрактом. В случае, если обеспечение исполнения Контракта осуществляется путем предоставления независимой гарантии, 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ребование Заказчика об уплате денежных сумм 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соответствующем реестре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контрактов. В случае, если обеспечение исполнения Контракта осуществляется путем внесения денежных средств на счет, указанный Заказчиком, по заявлению Поставщика ему возвращаются Заказчиком в установленный в соответствии с ч. 27 ст. 34 Закона № 44-ФЗ Конт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рактом срок денежные средства в сумме, на которую уменьшен размер обеспечения исполнения Контракта, рассчитанный Заказчиком на основании информации об исполнении Контракта, размещенной в соответствующем реестре контрактов.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Предусмотренное ч. 7 ст. 96 Закон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 № 44-ФЗ уменьшение размера обеспечения исполнения Контракта осуществляется при условии отсутствия неисполненных Поставщиком требований об уплате неустоек (штрафов, пеней), предъявленных Заказчиком в соответствии с Законом № 44-ФЗ.</w:t>
      </w:r>
    </w:p>
    <w:p w:rsidR="00594975" w:rsidRDefault="008A0DF7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8.10. В случае предоставления нового обеспечения исполнения контракта в соответствии с ч. 30 ст. 34, ч. 7 ст. 96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Закона  44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-ФЗ возврат независимой гарантии Заказчиком гаранту, предоставившему указанную  гарантию, не осуществляется, взыскание по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ней не производится.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8.11. В случае выбора Поставщиком способа обеспечение исполнения Контракта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путем внесением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денежных средств на счет Заказчика, реквизиты для перечисления денежных средств: </w:t>
      </w:r>
    </w:p>
    <w:p w:rsidR="00594975" w:rsidRDefault="00594975">
      <w:pPr>
        <w:pStyle w:val="af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ИНН: 2464002227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КПП: 246401001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ОКТМО: 04701000001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Получате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ль: УФК по Красноярскому краю (40102810245370000011), л/с 76192А71221.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Счет получателя: р/с 03224643040000001900</w:t>
      </w:r>
    </w:p>
    <w:p w:rsidR="00594975" w:rsidRPr="008A0DF7" w:rsidRDefault="008A0DF7" w:rsidP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БИК: 010407105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8.12. Положения Закона № 44-ФЗ об обеспечении исполнения Контракта, включая положения о предоставлении такого обеспечения с уче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том положений ст. 37 Закона № 44-ФЗ, не применяются в случае: заключения Контракта с участником закупки, который является казенным учреждением.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8.13. В случае, если предложенные в заявке участника закупки цена, сумма цен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единиц  товара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снижены на двадцать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пять и более процентов по отношению к начальной (максимальной) цене контракта, начальной сумме цен единиц товара, участник закупки, с которым заключается контракт, предоставляет обеспечение исполнения контракта с учетом положений статьи 37 Закона № 44-ФЗ.</w:t>
      </w:r>
    </w:p>
    <w:p w:rsidR="00594975" w:rsidRDefault="008A0DF7">
      <w:pPr>
        <w:ind w:firstLineChars="250" w:firstLine="55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8.14 Выплата аванса при исполнении контракта, заключенного с участником закупки, указанным в части 1 или 2 статьи 37 Закона №44-ФЗ, не допускается.</w:t>
      </w:r>
    </w:p>
    <w:p w:rsidR="00594975" w:rsidRDefault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8.15. В случае, если Контрактом предусмотрены отдельные этапы его исполнения и установлено требование обеспе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частями 7.2 и 7.3 ст. 96 Закона №44-ФЗ.</w:t>
      </w:r>
    </w:p>
    <w:p w:rsidR="00594975" w:rsidRPr="008A0DF7" w:rsidRDefault="008A0DF7" w:rsidP="008A0DF7">
      <w:pPr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8.16. В случае заключения настоящего Контракта с Поставщиком по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результатам определения Поставщика в соответствии с пунктом 1 части 1 статьи 30 Закона N 44-ФЗ Поставщик освобождается от предоставления обеспечения исполнения настоящего Контракта, в том числе с учетом положений статьи 37 Закона N 44-ФЗ, в случае предоста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вления Поставщиком информации согласно части 8.1 статьи 96 Закона N 44-ФЗ.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IX. ОБСТОЯТЕЛЬСТВА НЕПРЕОДОЛИМОЙ СИЛЫ</w:t>
      </w:r>
    </w:p>
    <w:p w:rsidR="00594975" w:rsidRDefault="00594975">
      <w:pPr>
        <w:ind w:firstLine="709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9.1. Сторона, не исполнившая или ненадлежащим образом исполнившая обязательства по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Контракту, несет ответственность, если не докажет, что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9.2. О возникновении и прекращении обстоятельства непреодолимой силы Стороны уведомляют друг друга письмен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но в течение 5 рабочих дней с даты их возникновения или прекращения. После прекращения обстоятельства непреодолимой силы Сторона, прекратившая исполнение обязательства по настоящему Контракту, незамедлительно возобновляет его исполнение. Извещение должно с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одержать данные о наступлении и характере обстоятельств и возможных последствиях.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9.3. Факт возникновения обстоятельства непреодолимой силы должен быть документально удостоверен уполномоченным органом федеральной, региональной власти или органом местного с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амоуправления.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9.4. Если одна из Сторон не направит или несвоевременно направит документы, указанные в пунктах 9.2 - 9.3 настоящего раздела, то такая Сторона не вправе ссылаться на возникновение обстоятельства непреодолимой силы в целях обоснования неиспол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нения и (или) ненадлежащего исполнения обязательства по настоящему Контракту,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(или) нена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длежащим исполнением обязательств по настоящему Контракту.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9.5. В случае, если обстоятельства непреодолимой силы будут сохраняться более 10 рабочих дней, любая Сторона имеет право предложить другой Стороне расторгнуть его. При прекращении настоящего Контра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кта по причинам, указанным в настоящем пункте, Стороны обязаны осуществить взаиморасчеты по своим обязательствам на день прекращения настоящего Контракта.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X. РАССМОТРЕНИЕ И РАЗРЕШЕНИЕ СПОРОВ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10.1. Все споры или разногласия, возникающие между сторонами по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контракту, разрешаются в претензионном порядке, в соответствии с частью 16 статьи 94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Закона  44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>-ФЗ.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10.2. Сторона, имеющая к другой стороне претензию (требование) обязана направить другой стороне претензию (требование) с приложением обосновывающих претенз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ию (требование) документов.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10.3. Сторона, которая получила претензию (требование), обязана ее рассмотреть и направить мотивированный ответ другой стороне в течение 10 дней с момента получения претензии (требования).</w:t>
      </w:r>
    </w:p>
    <w:p w:rsidR="00594975" w:rsidRDefault="008A0DF7" w:rsidP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10.4. В случае невозможности разрешения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разногласий в досудебном порядке, они подлежат рассмотрению в Арбитражном суде Красноярского края.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XI. СРОК ДЕЙСТВИЯ И ПОРЯДОК ИЗМЕНЕНИЯ,</w:t>
      </w:r>
    </w:p>
    <w:p w:rsidR="00594975" w:rsidRDefault="008A0DF7" w:rsidP="008A0DF7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РАСТОРЖЕНИЯ КОНТРАКТА</w:t>
      </w:r>
    </w:p>
    <w:p w:rsidR="008A0DF7" w:rsidRPr="008A0DF7" w:rsidRDefault="008A0DF7" w:rsidP="008A0DF7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11.1. Настоящий Контракт вступает в силу с даты его заключения обеими Сторонами и действует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по 28.02.2025. (включительно), а в части неисполненных обязательств - до полного их исполнения Сторонами. Окончание срока действия настоящего Контракта не влечет прекращения неисполненных обязательств Сторон по настоящему Контракту.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11.2. Расторжение насто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ящего Контракта допускается по соглашению Сторон, по решению суда, в случае одностороннего отказа Стороны от исполнения настоящего Контракта в соответствии с гражданским законодательством Российской Федерации. При этом факт подписания Сторонами соглашения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 расторжении настоящего Контракта не освобождает Стороны от обязанностей урегулирования взаимных расчетов. В случае принятия Стороной решения об одностороннем отказе от исполнения контракта по основаниям, предусмотренным Гражданским Кодексом Российской Фе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дерации, такой отказ осуществляется в соответствии со статьёй 95 Закона №44-ФЗ.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11.3. Изменения и дополнения по основаниям, предусмотренным настоящим Контрактом, вносятся по соглашению Сторон, которое оформляется соответствующим дополнительным Соглашением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и является неотъемлемой частью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11.4. Изменение существенных условий настоящего Контракта при его исполнении не допускается, за исключением случаев, предусмотренных Законом N 44-ФЗ.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случаях, предусмотренных ст. 78.1, 78.2 Бюджетного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кодекса РФ, допускается при исполнении контракта изменение по соглашению сторон размера и (или) сроков оплаты и (или) объема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товаров (работ, услуг).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XII. ПРОЧИЕ ПОЛОЖЕНИЯ 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12.1. Во всем, что не оговорено в настоящем Контракте, Стороны руководствуются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действующим законодательством Российской Федерации.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12.2. В случае изменения наименования, адреса места нахождения или банковских реквизитов Стороны, а также в случае реорганизации она письменно извещает об этом другую Сторону в течение 2 рабочих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дней  с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аты такого изменения. При этом если Поставщик не исполнит либо ненадлежащим образом исполнит обязанность, предусмотренную настоящим пунктом, все риски, связанные с перечислением Заказчиком денежных средств на указанный в настоящем Контракте счет, несет Пос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тавщик.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12.3. Все сообщения, требования,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 вручении по адресам Сторон, указанным в разделе XIV настоящего Контракта, либо с использованием электронной почты на электронные адреса, указанные в разделе XIV настоящего Контракта, либо с использованием факсимильной связи.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Момент получения Стороной со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общения или уведомления, направленного с использованием курьерской доставки, почтовой или факсимильной связи, определяется в соответствии с гражданским законодательством Российской Федерации. При этом направление уведомлений по адресам Сторон, указанным в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разделе XIV настоящего Контракта, считается надлежащим уведомлением Сторон.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В случаях, предусмотренных действующим законодательством, документы и информация, составляемые/направляемые/размещаемые при заключении, исполнении, расторжении контракта, составляю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тся/направляются/размещаются с использованием Единой информационной системы в порядке и сроки, установленные Законом 44-ФЗ.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12.4. При исполнении настоящего Контракта не допускается перемена Поставщика, за исключением случая, если новый Поставщик является п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равопреемником Поставщика по настоящему Контракту вследствие реорганизации юридического лица в форме преобразования, слияния или присоединения.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случае, предусмотренном настоящим пунктом, перемена Поставщика оформляется путем заключения соответствующего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дополнительного соглашения к настоящему Контракту.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12.5. Стороны обязуются обеспечить конфиденциальность сведений, относящихся к предмету настоящего Контракта и ставших им известными в ходе исполнения настоящего Контракта.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12.6. Настоящий Контракт составле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 в форме электронного документа, подписанного усиленными электронными подписями Сторон.</w:t>
      </w:r>
    </w:p>
    <w:p w:rsidR="00594975" w:rsidRDefault="008A0DF7">
      <w:pPr>
        <w:pStyle w:val="aff6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12.6.1. При исполнении своих обязательств по настоящему контракту, Стороны, их аффилированные лица, работники или посредники не выплачивают, не предлагают выплатить и </w:t>
      </w:r>
      <w:r>
        <w:rPr>
          <w:rFonts w:ascii="Times New Roman" w:hAnsi="Times New Roman" w:cs="Times New Roman"/>
          <w:sz w:val="24"/>
          <w:szCs w:val="24"/>
        </w:rPr>
        <w:t>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94975" w:rsidRDefault="008A0DF7">
      <w:pPr>
        <w:pStyle w:val="aff6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12.6.2. При исполнени</w:t>
      </w:r>
      <w:r>
        <w:rPr>
          <w:rFonts w:ascii="Times New Roman" w:hAnsi="Times New Roman" w:cs="Times New Roman"/>
          <w:sz w:val="24"/>
          <w:szCs w:val="24"/>
        </w:rPr>
        <w:t>и своих обязательств по настоящему контракту, Стороны, их аффилированные лица, работники или посредники не осуществляют действия, квалифицируемые применимым для целей настоящего контракта законодательством, как дача / получение взятки, коммерческий подкуп,</w:t>
      </w:r>
      <w:r>
        <w:rPr>
          <w:rFonts w:ascii="Times New Roman" w:hAnsi="Times New Roman" w:cs="Times New Roman"/>
          <w:sz w:val="24"/>
          <w:szCs w:val="24"/>
        </w:rPr>
        <w:t xml:space="preserve">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12.6.3. В случае возникновения у Стороны подозрений, что произошло или может произой</w:t>
      </w:r>
      <w:r>
        <w:rPr>
          <w:rFonts w:ascii="Times New Roman" w:hAnsi="Times New Roman" w:cs="Times New Roman"/>
          <w:sz w:val="24"/>
          <w:szCs w:val="24"/>
        </w:rPr>
        <w:t xml:space="preserve">ти нарушение каких-либо положений,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контракту до получения </w:t>
      </w:r>
      <w:r>
        <w:rPr>
          <w:rFonts w:ascii="Times New Roman" w:hAnsi="Times New Roman" w:cs="Times New Roman"/>
          <w:sz w:val="24"/>
          <w:szCs w:val="24"/>
        </w:rPr>
        <w:t>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12.7. В случае применения ограничений, установленных в соответствии с постановле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нием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Правительства РФ от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22.08.2016  832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(далее - постановление  832), при исполнении контракта, при заключении которого были отклонены заявки в соответствии с п. 2 постановления  832 не допускается замена продукта пищевого на: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пищевой продукт, страной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происхождения которого не является государство - член Евразийского экономического союза; 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- пищевой продукт другого производителя, предложение о поставке которого содержалось в заявках, которые не были отклонены в соответствии с ограничениями, установленны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ми п. 2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постановления  832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при заключении данного контракта.  </w:t>
      </w:r>
    </w:p>
    <w:p w:rsidR="00594975" w:rsidRDefault="0059497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XIII. ПЕРЕЧЕНЬ ПРИЛОЖЕНИЙ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Неотъемлемой частью настоящего Контракта является следующее: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Приложение N 1 - Спецификация на __ листах;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Приложение N 2- Техническое задание на __ листах;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Приложени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е N 3- Форма заявки на поставку Товара на 1 листе;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4 – Инструкция о приёмке товаров животного происхождения (применяется, в случае поставки Товара животного происхождения) 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XIV. АДРЕСА. БАНКОВСКИЕ РЕКВИЗИТЫ И ПОДПИСИ СТОРОН: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25"/>
        <w:gridCol w:w="4253"/>
      </w:tblGrid>
      <w:tr w:rsidR="00594975">
        <w:tc>
          <w:tcPr>
            <w:tcW w:w="4882" w:type="dxa"/>
          </w:tcPr>
          <w:p w:rsidR="00594975" w:rsidRDefault="008A0DF7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Заказчик:</w:t>
            </w:r>
          </w:p>
          <w:tbl>
            <w:tblPr>
              <w:tblW w:w="9813" w:type="dxa"/>
              <w:tblLayout w:type="fixed"/>
              <w:tblLook w:val="04A0" w:firstRow="1" w:lastRow="0" w:firstColumn="1" w:lastColumn="0" w:noHBand="0" w:noVBand="1"/>
            </w:tblPr>
            <w:tblGrid>
              <w:gridCol w:w="4906"/>
              <w:gridCol w:w="4907"/>
            </w:tblGrid>
            <w:tr w:rsidR="00594975">
              <w:trPr>
                <w:trHeight w:val="235"/>
              </w:trPr>
              <w:tc>
                <w:tcPr>
                  <w:tcW w:w="4906" w:type="dxa"/>
                </w:tcPr>
                <w:p w:rsidR="00594975" w:rsidRDefault="00594975">
                  <w:pPr>
                    <w:keepNext/>
                    <w:keepLines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907" w:type="dxa"/>
                  <w:vAlign w:val="center"/>
                </w:tcPr>
                <w:p w:rsidR="00594975" w:rsidRDefault="00594975">
                  <w:pPr>
                    <w:pStyle w:val="4"/>
                    <w:keepLines/>
                    <w:ind w:firstLine="720"/>
                    <w:jc w:val="center"/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594975" w:rsidRDefault="0059497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КРАЕВОЕ ГОСУДАРСТВЕННОЕ БЮДЖЕТНОЕ УЧРЕЖДЕНИЕ ЗДРАВООХРАНЕНИЯ ''КРАСНОЯРСКИЙ МЕЖРАЙОННЫЙ РОДИЛЬНЫЙ ДОМ № 2''</w:t>
            </w: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Юридический (почтовый) адрес: Российская Федерация, 660093, Красноярский край, Красноярск г, ПРОСПЕКТ ИМ.ГАЗЕТЫ ''КРАСНОЯРСКИЙ РАБОЧИЙ'', 170</w:t>
            </w: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Телефо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н: 7-391-2365869</w:t>
            </w: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  zakup.kmrd2@yandex.ru</w:t>
            </w:r>
            <w:proofErr w:type="gramEnd"/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ИНН: 2464002227</w:t>
            </w: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КПП: 246401001</w:t>
            </w: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ОГРН: 1022402306618</w:t>
            </w: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ОКПО: 21891256</w:t>
            </w: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ОКТМО: 04701000001</w:t>
            </w:r>
          </w:p>
          <w:p w:rsidR="00594975" w:rsidRDefault="0059497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94975" w:rsidRPr="008A0DF7" w:rsidRDefault="008A0DF7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A0D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Лицевой счет: 74192А71221</w:t>
            </w:r>
          </w:p>
          <w:p w:rsidR="00594975" w:rsidRDefault="0059497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94975" w:rsidRDefault="008A0DF7">
            <w:pPr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Расчетный счет: 03224643040000001900 </w:t>
            </w:r>
          </w:p>
          <w:p w:rsidR="00594975" w:rsidRDefault="008A0DF7">
            <w:pPr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Корреспондентский счет: 40102810245370000011</w:t>
            </w:r>
          </w:p>
          <w:p w:rsidR="00594975" w:rsidRDefault="005949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94975" w:rsidRDefault="008A0DF7">
            <w:pPr>
              <w:pStyle w:val="af5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Банк: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ОТДЕЛЕНИЕ КРАСНОЯРСК //УФК ПО КРАСНОЯРСКОМУ КРАЮ, Г КРАСНОЯРСК</w:t>
            </w:r>
          </w:p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Бик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банка: 010407105</w:t>
            </w:r>
          </w:p>
        </w:tc>
        <w:tc>
          <w:tcPr>
            <w:tcW w:w="425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4975" w:rsidRPr="008A0DF7" w:rsidRDefault="008A0D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Поставщик:</w:t>
            </w:r>
          </w:p>
          <w:p w:rsidR="00594975" w:rsidRPr="008A0DF7" w:rsidRDefault="0059497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полное наименование Поставщика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Адрес: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ИНН ___________________________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КПП ___________________________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ОГРН 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ОКПО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ОКТМО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Тел.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Адрес электронной почты: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Банковские реквизиты: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р/с ___________________________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к/с ___________________________</w:t>
            </w:r>
          </w:p>
          <w:p w:rsidR="00594975" w:rsidRDefault="0059497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БИК _________________________</w:t>
            </w:r>
          </w:p>
          <w:p w:rsidR="00594975" w:rsidRDefault="0059497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94975" w:rsidRDefault="00594975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94975" w:rsidRDefault="008A0DF7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_____________________/__________ </w:t>
            </w:r>
          </w:p>
          <w:p w:rsidR="00594975" w:rsidRDefault="008A0DF7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«_____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_________________20_______ г.</w:t>
            </w:r>
          </w:p>
          <w:p w:rsidR="00594975" w:rsidRDefault="008A0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М.П.</w:t>
            </w:r>
          </w:p>
        </w:tc>
      </w:tr>
    </w:tbl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5" w:name="_GoBack"/>
      <w:bookmarkEnd w:id="5"/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br w:type="page"/>
      </w:r>
    </w:p>
    <w:p w:rsidR="00594975" w:rsidRDefault="008A0DF7">
      <w:pPr>
        <w:ind w:firstLine="567"/>
        <w:jc w:val="right"/>
        <w:outlineLvl w:val="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Приложение N 2</w:t>
      </w:r>
    </w:p>
    <w:p w:rsidR="00594975" w:rsidRDefault="008A0DF7">
      <w:pPr>
        <w:ind w:firstLine="567"/>
        <w:jc w:val="right"/>
        <w:outlineLvl w:val="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к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Контракту</w:t>
      </w:r>
    </w:p>
    <w:p w:rsidR="00594975" w:rsidRDefault="008A0DF7">
      <w:pPr>
        <w:ind w:firstLine="567"/>
        <w:jc w:val="right"/>
        <w:outlineLvl w:val="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от «_____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_»_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>___ 20__ г. N ___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ТЕХНИЧЕСКОЕ ЗАДАНИЕ </w:t>
      </w:r>
    </w:p>
    <w:p w:rsidR="00594975" w:rsidRDefault="00594975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W w:w="1019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642"/>
        <w:gridCol w:w="3783"/>
        <w:gridCol w:w="1064"/>
        <w:gridCol w:w="3123"/>
      </w:tblGrid>
      <w:tr w:rsidR="00594975">
        <w:trPr>
          <w:trHeight w:val="2531"/>
        </w:trPr>
        <w:tc>
          <w:tcPr>
            <w:tcW w:w="582" w:type="dxa"/>
            <w:shd w:val="clear" w:color="000000" w:fill="FFFFFF"/>
            <w:noWrap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1642" w:type="dxa"/>
            <w:shd w:val="clear" w:color="000000" w:fill="FFFFFF"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Наименование Товара </w:t>
            </w:r>
          </w:p>
        </w:tc>
        <w:tc>
          <w:tcPr>
            <w:tcW w:w="3783" w:type="dxa"/>
            <w:shd w:val="clear" w:color="000000" w:fill="FFFFFF"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1064" w:type="dxa"/>
            <w:shd w:val="clear" w:color="000000" w:fill="FFFFFF"/>
            <w:noWrap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3123" w:type="dxa"/>
            <w:shd w:val="clear" w:color="000000" w:fill="FFFFFF"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Наименование страны происхождения Товара / производитель (в случае указания участником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закупки в заявке производителя товара)</w:t>
            </w:r>
          </w:p>
        </w:tc>
      </w:tr>
      <w:tr w:rsidR="00594975">
        <w:trPr>
          <w:trHeight w:val="225"/>
        </w:trPr>
        <w:tc>
          <w:tcPr>
            <w:tcW w:w="582" w:type="dxa"/>
            <w:shd w:val="clear" w:color="000000" w:fill="FFFFFF"/>
            <w:noWrap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42" w:type="dxa"/>
            <w:shd w:val="clear" w:color="000000" w:fill="FFFFFF"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83" w:type="dxa"/>
            <w:shd w:val="clear" w:color="000000" w:fill="FFFFFF"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64" w:type="dxa"/>
            <w:shd w:val="clear" w:color="000000" w:fill="FFFFFF"/>
            <w:noWrap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123" w:type="dxa"/>
            <w:shd w:val="clear" w:color="000000" w:fill="FFFFFF"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594975">
        <w:trPr>
          <w:trHeight w:val="1327"/>
        </w:trPr>
        <w:tc>
          <w:tcPr>
            <w:tcW w:w="582" w:type="dxa"/>
            <w:shd w:val="clear" w:color="000000" w:fill="FFFFFF"/>
            <w:noWrap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594975" w:rsidRDefault="005949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83" w:type="dxa"/>
            <w:shd w:val="clear" w:color="auto" w:fill="auto"/>
            <w:vAlign w:val="center"/>
          </w:tcPr>
          <w:p w:rsidR="00594975" w:rsidRDefault="005949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594975" w:rsidRDefault="005949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123" w:type="dxa"/>
            <w:shd w:val="clear" w:color="000000" w:fill="FFFFFF"/>
            <w:vAlign w:val="center"/>
          </w:tcPr>
          <w:p w:rsidR="00594975" w:rsidRDefault="005949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975">
        <w:trPr>
          <w:trHeight w:val="1327"/>
        </w:trPr>
        <w:tc>
          <w:tcPr>
            <w:tcW w:w="582" w:type="dxa"/>
            <w:shd w:val="clear" w:color="000000" w:fill="FFFFFF"/>
            <w:noWrap/>
            <w:vAlign w:val="center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594975" w:rsidRDefault="005949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83" w:type="dxa"/>
            <w:shd w:val="clear" w:color="auto" w:fill="auto"/>
            <w:vAlign w:val="center"/>
          </w:tcPr>
          <w:p w:rsidR="00594975" w:rsidRDefault="005949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594975" w:rsidRDefault="005949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123" w:type="dxa"/>
            <w:shd w:val="clear" w:color="000000" w:fill="FFFFFF"/>
            <w:vAlign w:val="center"/>
          </w:tcPr>
          <w:p w:rsidR="00594975" w:rsidRDefault="005949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400"/>
        <w:gridCol w:w="510"/>
        <w:gridCol w:w="510"/>
        <w:gridCol w:w="1531"/>
        <w:gridCol w:w="2324"/>
        <w:gridCol w:w="624"/>
        <w:gridCol w:w="624"/>
      </w:tblGrid>
      <w:tr w:rsidR="00594975">
        <w:tc>
          <w:tcPr>
            <w:tcW w:w="454" w:type="dxa"/>
            <w:vMerge w:val="restart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00" w:type="dxa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 Заказчика:</w:t>
            </w:r>
          </w:p>
        </w:tc>
        <w:tc>
          <w:tcPr>
            <w:tcW w:w="510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10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24" w:type="dxa"/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 Поставщика</w:t>
            </w:r>
          </w:p>
        </w:tc>
        <w:tc>
          <w:tcPr>
            <w:tcW w:w="624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24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975">
        <w:tc>
          <w:tcPr>
            <w:tcW w:w="454" w:type="dxa"/>
            <w:vMerge/>
          </w:tcPr>
          <w:p w:rsidR="00594975" w:rsidRDefault="00594975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10" w:type="dxa"/>
            <w:vAlign w:val="bottom"/>
          </w:tcPr>
          <w:p w:rsidR="00594975" w:rsidRDefault="008A0DF7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</w:p>
        </w:tc>
        <w:tc>
          <w:tcPr>
            <w:tcW w:w="510" w:type="dxa"/>
            <w:vAlign w:val="bottom"/>
          </w:tcPr>
          <w:p w:rsidR="00594975" w:rsidRDefault="008A0DF7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31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24" w:type="dxa"/>
            <w:vAlign w:val="bottom"/>
          </w:tcPr>
          <w:p w:rsidR="00594975" w:rsidRDefault="008A0DF7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</w:p>
        </w:tc>
        <w:tc>
          <w:tcPr>
            <w:tcW w:w="624" w:type="dxa"/>
            <w:vAlign w:val="bottom"/>
          </w:tcPr>
          <w:p w:rsidR="00594975" w:rsidRDefault="008A0DF7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594975">
        <w:tc>
          <w:tcPr>
            <w:tcW w:w="454" w:type="dxa"/>
            <w:vMerge/>
          </w:tcPr>
          <w:p w:rsidR="00594975" w:rsidRDefault="00594975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sz="4" w:space="0" w:color="auto"/>
            </w:tcBorders>
            <w:vAlign w:val="center"/>
          </w:tcPr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М.П. (при наличии)</w:t>
            </w:r>
          </w:p>
        </w:tc>
        <w:tc>
          <w:tcPr>
            <w:tcW w:w="510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10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  <w:vAlign w:val="center"/>
          </w:tcPr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М.П. (при наличии)</w:t>
            </w:r>
          </w:p>
        </w:tc>
        <w:tc>
          <w:tcPr>
            <w:tcW w:w="624" w:type="dxa"/>
            <w:vAlign w:val="center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24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ind w:firstLine="709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ind w:firstLine="709"/>
        <w:jc w:val="right"/>
        <w:outlineLvl w:val="1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right"/>
        <w:outlineLvl w:val="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Приложение N 3</w:t>
      </w:r>
    </w:p>
    <w:p w:rsidR="00594975" w:rsidRDefault="008A0DF7">
      <w:pPr>
        <w:ind w:firstLine="709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к Контракту</w:t>
      </w:r>
    </w:p>
    <w:p w:rsidR="00594975" w:rsidRDefault="008A0DF7">
      <w:pPr>
        <w:ind w:firstLine="709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от «___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_»_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>___ 20__ г. N ___</w:t>
      </w:r>
    </w:p>
    <w:p w:rsidR="00594975" w:rsidRDefault="0059497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ФОРМА ЗАЯВКИ НА ПОСТАВКУ ТОВАРА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Заявка на поставку Товара N __</w:t>
      </w:r>
    </w:p>
    <w:p w:rsidR="00594975" w:rsidRDefault="008A0DF7">
      <w:pPr>
        <w:ind w:firstLine="709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к Контракту от «__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_»_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>____ 20__ г. N ____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28"/>
        <w:gridCol w:w="4819"/>
        <w:gridCol w:w="2494"/>
      </w:tblGrid>
      <w:tr w:rsidR="00594975">
        <w:tc>
          <w:tcPr>
            <w:tcW w:w="1728" w:type="dxa"/>
            <w:vAlign w:val="center"/>
          </w:tcPr>
          <w:p w:rsidR="00594975" w:rsidRDefault="0059497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19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94" w:type="dxa"/>
            <w:vAlign w:val="center"/>
          </w:tcPr>
          <w:p w:rsidR="00594975" w:rsidRDefault="008A0DF7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 _________</w:t>
            </w:r>
          </w:p>
        </w:tc>
      </w:tr>
    </w:tbl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1587"/>
        <w:gridCol w:w="1247"/>
        <w:gridCol w:w="1690"/>
        <w:gridCol w:w="1987"/>
        <w:gridCol w:w="1871"/>
      </w:tblGrid>
      <w:tr w:rsidR="0059497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 </w:t>
            </w:r>
          </w:p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Единицы измерения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в единицах измерения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Цена за единицу измерения, руб. (включая НДС) (если облагается НДС)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Стоимость, руб.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(включая НДС) (если облагается НДС)</w:t>
            </w:r>
          </w:p>
        </w:tc>
      </w:tr>
      <w:tr w:rsidR="0059497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</w:tr>
      <w:tr w:rsidR="0059497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8A0DF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2268"/>
        <w:gridCol w:w="3572"/>
      </w:tblGrid>
      <w:tr w:rsidR="00594975">
        <w:tc>
          <w:tcPr>
            <w:tcW w:w="9015" w:type="dxa"/>
            <w:gridSpan w:val="3"/>
            <w:vAlign w:val="center"/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Адрес поставки Товара: ________</w:t>
            </w:r>
          </w:p>
        </w:tc>
      </w:tr>
      <w:tr w:rsidR="00594975">
        <w:tc>
          <w:tcPr>
            <w:tcW w:w="3175" w:type="dxa"/>
            <w:vAlign w:val="bottom"/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Подпись:</w:t>
            </w:r>
          </w:p>
        </w:tc>
        <w:tc>
          <w:tcPr>
            <w:tcW w:w="2268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2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975">
        <w:tc>
          <w:tcPr>
            <w:tcW w:w="3175" w:type="dxa"/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 Заказчика:</w:t>
            </w:r>
          </w:p>
        </w:tc>
        <w:tc>
          <w:tcPr>
            <w:tcW w:w="2268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2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975">
        <w:tc>
          <w:tcPr>
            <w:tcW w:w="3175" w:type="dxa"/>
            <w:tcBorders>
              <w:bottom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2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975">
        <w:tc>
          <w:tcPr>
            <w:tcW w:w="3175" w:type="dxa"/>
            <w:tcBorders>
              <w:top w:val="single" w:sz="4" w:space="0" w:color="auto"/>
            </w:tcBorders>
          </w:tcPr>
          <w:p w:rsidR="00594975" w:rsidRDefault="008A0DF7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М.П. (при наличии)</w:t>
            </w:r>
          </w:p>
        </w:tc>
        <w:tc>
          <w:tcPr>
            <w:tcW w:w="2268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2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975">
        <w:tc>
          <w:tcPr>
            <w:tcW w:w="3175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2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975">
        <w:tc>
          <w:tcPr>
            <w:tcW w:w="3175" w:type="dxa"/>
            <w:vAlign w:val="center"/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 Заказчика:</w:t>
            </w:r>
          </w:p>
        </w:tc>
        <w:tc>
          <w:tcPr>
            <w:tcW w:w="2268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2" w:type="dxa"/>
            <w:vAlign w:val="center"/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 Поставщика:</w:t>
            </w:r>
          </w:p>
        </w:tc>
      </w:tr>
      <w:tr w:rsidR="00594975">
        <w:tc>
          <w:tcPr>
            <w:tcW w:w="3175" w:type="dxa"/>
            <w:tcBorders>
              <w:bottom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975">
        <w:tc>
          <w:tcPr>
            <w:tcW w:w="3175" w:type="dxa"/>
            <w:tcBorders>
              <w:top w:val="single" w:sz="4" w:space="0" w:color="auto"/>
            </w:tcBorders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М.П. (при наличии)</w:t>
            </w:r>
          </w:p>
        </w:tc>
        <w:tc>
          <w:tcPr>
            <w:tcW w:w="2268" w:type="dxa"/>
          </w:tcPr>
          <w:p w:rsidR="00594975" w:rsidRDefault="00594975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594975" w:rsidRDefault="008A0DF7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М.П. (при наличии)</w:t>
            </w:r>
          </w:p>
        </w:tc>
      </w:tr>
    </w:tbl>
    <w:p w:rsidR="00594975" w:rsidRDefault="0059497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Приложение N 4</w:t>
      </w:r>
    </w:p>
    <w:p w:rsidR="00594975" w:rsidRDefault="00594975">
      <w:pPr>
        <w:spacing w:after="200" w:line="276" w:lineRule="auto"/>
        <w:contextualSpacing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Контракту</w:t>
      </w:r>
    </w:p>
    <w:p w:rsidR="00594975" w:rsidRDefault="008A0DF7">
      <w:pPr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__ ____ 202__ г. N ___</w:t>
      </w:r>
    </w:p>
    <w:p w:rsidR="00594975" w:rsidRDefault="0059497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594975" w:rsidRDefault="008A0DF7">
      <w:pPr>
        <w:spacing w:after="1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Инструкция</w:t>
      </w:r>
    </w:p>
    <w:p w:rsidR="00594975" w:rsidRDefault="008A0DF7">
      <w:pPr>
        <w:spacing w:after="1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 порядке приемки продукции при осуществлении закупок продуктов животного происхождения </w:t>
      </w:r>
    </w:p>
    <w:p w:rsidR="00594975" w:rsidRDefault="008A0DF7">
      <w:pPr>
        <w:pStyle w:val="ConsPlusNormal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1.Введение</w:t>
      </w:r>
    </w:p>
    <w:p w:rsidR="00594975" w:rsidRDefault="00594975">
      <w:pPr>
        <w:pStyle w:val="ConsPlusNormal"/>
        <w:ind w:firstLine="709"/>
        <w:jc w:val="both"/>
        <w:rPr>
          <w:sz w:val="22"/>
          <w:szCs w:val="22"/>
        </w:rPr>
      </w:pP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Настоящая Инструкция применяется при приёмке продуктов животного происхождения в рамках исполнения контрактов, заклю</w:t>
      </w:r>
      <w:r>
        <w:rPr>
          <w:sz w:val="22"/>
          <w:szCs w:val="22"/>
        </w:rPr>
        <w:t>чённых в результате осуществления закупок для нужд заказчиков Красноярского края в соответствии</w:t>
      </w:r>
      <w:r>
        <w:rPr>
          <w:sz w:val="22"/>
          <w:szCs w:val="22"/>
        </w:rPr>
        <w:br/>
        <w:t>с положениями Федерального закона от 05.04.2013 № 44-ФЗ «О контрактной системе</w:t>
      </w:r>
      <w:r>
        <w:rPr>
          <w:sz w:val="22"/>
          <w:szCs w:val="22"/>
        </w:rPr>
        <w:br/>
        <w:t>в сфере закупок товаров, работ, услуг для государственных и муниципальных нужд» (</w:t>
      </w:r>
      <w:r>
        <w:rPr>
          <w:sz w:val="22"/>
          <w:szCs w:val="22"/>
        </w:rPr>
        <w:t>далее – Федеральный закон 44-ФЗ).</w:t>
      </w:r>
    </w:p>
    <w:p w:rsidR="00594975" w:rsidRDefault="008A0DF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продуктам животного происхождения (далее – товар,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продукция)относится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продукция, включенная в Перечень подконтрольных товаров, утвержденный Приказом Министерства сельского хозяйства РФ от 18.12.2015 № 648 «Об утверждении</w:t>
      </w:r>
      <w:r>
        <w:rPr>
          <w:rFonts w:ascii="Times New Roman" w:hAnsi="Times New Roman" w:cs="Times New Roman"/>
          <w:sz w:val="22"/>
          <w:szCs w:val="22"/>
        </w:rPr>
        <w:t xml:space="preserve"> Перечня подконтрольных товаров, подлежащих сопровождению ветеринарными сопроводительными документами».</w:t>
      </w:r>
    </w:p>
    <w:p w:rsidR="00594975" w:rsidRDefault="008A0DF7">
      <w:pPr>
        <w:pStyle w:val="ConsPlusNormal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2.Условия приемки продукции заказчиками</w:t>
      </w:r>
    </w:p>
    <w:p w:rsidR="00594975" w:rsidRDefault="00594975">
      <w:pPr>
        <w:pStyle w:val="ConsPlusNormal"/>
        <w:ind w:firstLine="709"/>
        <w:jc w:val="both"/>
        <w:rPr>
          <w:sz w:val="22"/>
          <w:szCs w:val="22"/>
        </w:rPr>
      </w:pP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 приемке товара заказчиком осуществляется проверка товара на соответствие условиям заключенного контракта, а</w:t>
      </w:r>
      <w:r>
        <w:rPr>
          <w:sz w:val="22"/>
          <w:szCs w:val="22"/>
        </w:rPr>
        <w:t xml:space="preserve"> также проверка наличия ветеринарного сопроводительного документа в электронном виде на поставляемую продукцию</w:t>
      </w:r>
      <w:r>
        <w:rPr>
          <w:sz w:val="22"/>
          <w:szCs w:val="22"/>
        </w:rPr>
        <w:br/>
        <w:t>– ветеринарного сертификата (далее - сертификат), за исключением случаев, когда наличие данного документа не требуется в соответствии с законодат</w:t>
      </w:r>
      <w:r>
        <w:rPr>
          <w:sz w:val="22"/>
          <w:szCs w:val="22"/>
        </w:rPr>
        <w:t>ельством РФ.В частности, молоко и молочная продукция подлежат сопровождению ветеринарными сопроводительными документами согласно Кода ТН ВЭД-Группа 04, за исключением молочных продуктов,  выработанных из пастеризованного (</w:t>
      </w:r>
      <w:proofErr w:type="spellStart"/>
      <w:r>
        <w:rPr>
          <w:sz w:val="22"/>
          <w:szCs w:val="22"/>
        </w:rPr>
        <w:t>ультрапастеризованного</w:t>
      </w:r>
      <w:proofErr w:type="spellEnd"/>
      <w:r>
        <w:rPr>
          <w:sz w:val="22"/>
          <w:szCs w:val="22"/>
        </w:rPr>
        <w:t>, стерилизов</w:t>
      </w:r>
      <w:r>
        <w:rPr>
          <w:sz w:val="22"/>
          <w:szCs w:val="22"/>
        </w:rPr>
        <w:t xml:space="preserve">анного, </w:t>
      </w:r>
      <w:proofErr w:type="spellStart"/>
      <w:r>
        <w:rPr>
          <w:sz w:val="22"/>
          <w:szCs w:val="22"/>
        </w:rPr>
        <w:t>ультравысокотемпературно</w:t>
      </w:r>
      <w:proofErr w:type="spellEnd"/>
      <w:r>
        <w:rPr>
          <w:sz w:val="22"/>
          <w:szCs w:val="22"/>
        </w:rPr>
        <w:t>-обработанного) молока, или пастеризованных (</w:t>
      </w:r>
      <w:proofErr w:type="spellStart"/>
      <w:r>
        <w:rPr>
          <w:sz w:val="22"/>
          <w:szCs w:val="22"/>
        </w:rPr>
        <w:t>ультрапестеризованных</w:t>
      </w:r>
      <w:proofErr w:type="spellEnd"/>
      <w:r>
        <w:rPr>
          <w:sz w:val="22"/>
          <w:szCs w:val="22"/>
        </w:rPr>
        <w:t xml:space="preserve">, стерилизованных, </w:t>
      </w:r>
      <w:proofErr w:type="spellStart"/>
      <w:r>
        <w:rPr>
          <w:sz w:val="22"/>
          <w:szCs w:val="22"/>
        </w:rPr>
        <w:t>ультравысокотемператруно</w:t>
      </w:r>
      <w:proofErr w:type="spellEnd"/>
      <w:r>
        <w:rPr>
          <w:sz w:val="22"/>
          <w:szCs w:val="22"/>
        </w:rPr>
        <w:t xml:space="preserve">-обработанных) молочных продуктов, изготовленных промышленным способом </w:t>
      </w:r>
      <w:r>
        <w:rPr>
          <w:sz w:val="22"/>
          <w:szCs w:val="22"/>
        </w:rPr>
        <w:br/>
        <w:t>и упакованных в потребительскую тару (упако</w:t>
      </w:r>
      <w:r>
        <w:rPr>
          <w:sz w:val="22"/>
          <w:szCs w:val="22"/>
        </w:rPr>
        <w:t>вку), т.е. упаковку, предназначенную для продажи или первичной упаковки продукции, реализуемой конечному потребителю.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Ветеринарные сопроводительные документы прилагаются к Акту сдачи-приемки товара.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После передачи товара заказчик производит гашение сертифи</w:t>
      </w:r>
      <w:r>
        <w:rPr>
          <w:sz w:val="22"/>
          <w:szCs w:val="22"/>
        </w:rPr>
        <w:t>ката в системе ФГИС «Меркурий» в соответствии с Приказом Минсельхоза России от 13.12.2022 № 862 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</w:t>
      </w:r>
      <w:r>
        <w:rPr>
          <w:sz w:val="22"/>
          <w:szCs w:val="22"/>
        </w:rPr>
        <w:t>окументов в электронной форме и Порядка оформления ветеринарных сопроводительных документов на бумажных носителях бумажных носителях</w:t>
      </w:r>
    </w:p>
    <w:p w:rsidR="00594975" w:rsidRDefault="008A0DF7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Для получения возможности осуществления данного действия заказчику необходимо:</w:t>
      </w:r>
    </w:p>
    <w:p w:rsidR="00594975" w:rsidRDefault="008A0DF7">
      <w:pPr>
        <w:pStyle w:val="2"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2"/>
          <w:szCs w:val="22"/>
        </w:rPr>
        <w:t xml:space="preserve">- зарегистрироваться в системе ФГИС «Меркурий» через краевые государственные казенные учреждения ветеринарии по соответствующему муниципальному образованию 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2"/>
          <w:szCs w:val="22"/>
        </w:rPr>
        <w:br/>
        <w:t>по месту нахождения заказчика, подведомственные службе по ветеринарному надзору Красноярского края(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2"/>
          <w:szCs w:val="22"/>
        </w:rPr>
        <w:t>далее - районные (городские) отделы ветеринарии);</w:t>
      </w:r>
    </w:p>
    <w:p w:rsidR="00594975" w:rsidRDefault="008A0DF7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получить логин и пароль для входа в электронную систему с целью гашения ветеринарного сопроводительного документа, по которому поступила продукция, либо оформления возвратного ветеринарного сертификата, в</w:t>
      </w:r>
      <w:r>
        <w:rPr>
          <w:color w:val="000000" w:themeColor="text1"/>
          <w:sz w:val="22"/>
          <w:szCs w:val="22"/>
        </w:rPr>
        <w:t xml:space="preserve"> случае возврата продукции поставщику.</w:t>
      </w:r>
    </w:p>
    <w:p w:rsidR="00594975" w:rsidRDefault="00594975">
      <w:pPr>
        <w:pStyle w:val="ConsPlusNormal"/>
        <w:ind w:firstLine="709"/>
        <w:jc w:val="both"/>
        <w:rPr>
          <w:sz w:val="22"/>
          <w:szCs w:val="22"/>
        </w:rPr>
      </w:pPr>
    </w:p>
    <w:p w:rsidR="00594975" w:rsidRDefault="00594975">
      <w:pPr>
        <w:pStyle w:val="ConsPlusNormal"/>
        <w:ind w:firstLine="709"/>
        <w:jc w:val="both"/>
        <w:rPr>
          <w:sz w:val="22"/>
          <w:szCs w:val="22"/>
        </w:rPr>
      </w:pPr>
    </w:p>
    <w:p w:rsidR="00594975" w:rsidRDefault="008A0DF7">
      <w:pPr>
        <w:pStyle w:val="ConsPlusNormal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3.Требования к продукции животного происхождения</w:t>
      </w:r>
    </w:p>
    <w:p w:rsidR="00594975" w:rsidRDefault="00594975">
      <w:pPr>
        <w:pStyle w:val="ConsPlusNormal"/>
        <w:ind w:firstLine="709"/>
        <w:jc w:val="both"/>
        <w:rPr>
          <w:sz w:val="22"/>
          <w:szCs w:val="22"/>
        </w:rPr>
      </w:pP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приемке товара Заказчик проверяет соответствие товара условиям контракта </w:t>
      </w:r>
      <w:r>
        <w:rPr>
          <w:sz w:val="22"/>
          <w:szCs w:val="22"/>
        </w:rPr>
        <w:br/>
        <w:t xml:space="preserve">и требованиям соответствующих технических регламентов по поставляемому виду продукции. </w:t>
      </w:r>
      <w:r>
        <w:rPr>
          <w:sz w:val="22"/>
          <w:szCs w:val="22"/>
        </w:rPr>
        <w:t>Транспортные средства, предназначенные для перевозки продуктов убоя и мясной продукции, оборудуются средствами, позволяющими соблюдать и регистрировать установленный температурный режим. При поставке продукции в транспортной таре/упаковке проверяется налич</w:t>
      </w:r>
      <w:r>
        <w:rPr>
          <w:sz w:val="22"/>
          <w:szCs w:val="22"/>
        </w:rPr>
        <w:t>ие маркировки, сертификата соответствия удостоверения качества, товарно-транспортной накладной, ветеринарного сопроводительного документа. Поставка товара в поврежденной либо вскрытой упаковке не допускается.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поставке молока и молочной продукции необходимо руководствоваться требованиями разделов </w:t>
      </w:r>
      <w:proofErr w:type="gramStart"/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,</w:t>
      </w:r>
      <w:r>
        <w:rPr>
          <w:sz w:val="22"/>
          <w:szCs w:val="22"/>
          <w:lang w:val="en-US"/>
        </w:rPr>
        <w:t>X</w:t>
      </w:r>
      <w:proofErr w:type="gramEnd"/>
      <w:r>
        <w:rPr>
          <w:sz w:val="22"/>
          <w:szCs w:val="22"/>
        </w:rPr>
        <w:t>,</w:t>
      </w:r>
      <w:r>
        <w:rPr>
          <w:sz w:val="22"/>
          <w:szCs w:val="22"/>
          <w:lang w:val="en-US"/>
        </w:rPr>
        <w:t>XII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en-US"/>
        </w:rPr>
        <w:t>XIII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en-US"/>
        </w:rPr>
        <w:t>XIV</w:t>
      </w:r>
      <w:r>
        <w:rPr>
          <w:sz w:val="22"/>
          <w:szCs w:val="22"/>
        </w:rPr>
        <w:t>,</w:t>
      </w:r>
      <w:r>
        <w:rPr>
          <w:sz w:val="22"/>
          <w:szCs w:val="22"/>
          <w:lang w:val="en-US"/>
        </w:rPr>
        <w:t>XV</w:t>
      </w:r>
      <w:r>
        <w:rPr>
          <w:sz w:val="22"/>
          <w:szCs w:val="22"/>
        </w:rPr>
        <w:t>Технического Регламента Таможенного союза ТР ТС 033/2013 «О безопасности молока и молочной продукции».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 поставке мясной продукции необходим</w:t>
      </w:r>
      <w:r>
        <w:rPr>
          <w:sz w:val="22"/>
          <w:szCs w:val="22"/>
        </w:rPr>
        <w:t xml:space="preserve">о руководствоваться требованиями раздела </w:t>
      </w:r>
      <w:r>
        <w:rPr>
          <w:sz w:val="22"/>
          <w:szCs w:val="22"/>
          <w:lang w:val="en-US"/>
        </w:rPr>
        <w:t>IX</w:t>
      </w:r>
      <w:r>
        <w:rPr>
          <w:sz w:val="22"/>
          <w:szCs w:val="22"/>
        </w:rPr>
        <w:t>,</w:t>
      </w:r>
      <w:r>
        <w:rPr>
          <w:sz w:val="22"/>
          <w:szCs w:val="22"/>
          <w:lang w:val="en-US"/>
        </w:rPr>
        <w:t>X</w:t>
      </w:r>
      <w:r>
        <w:rPr>
          <w:sz w:val="22"/>
          <w:szCs w:val="22"/>
        </w:rPr>
        <w:t>,</w:t>
      </w:r>
      <w:r>
        <w:rPr>
          <w:sz w:val="22"/>
          <w:szCs w:val="22"/>
          <w:lang w:val="en-US"/>
        </w:rPr>
        <w:t>XI</w:t>
      </w:r>
      <w:r>
        <w:rPr>
          <w:sz w:val="22"/>
          <w:szCs w:val="22"/>
        </w:rPr>
        <w:t xml:space="preserve"> Технического Регламента Таможенного союза ТР ТС 034/2013</w:t>
      </w:r>
      <w:r>
        <w:rPr>
          <w:sz w:val="22"/>
          <w:szCs w:val="22"/>
        </w:rPr>
        <w:br/>
        <w:t xml:space="preserve">«О безопасности мяса и мясной продукции» к транспортировке продукции и пунктами </w:t>
      </w:r>
      <w:r>
        <w:rPr>
          <w:sz w:val="22"/>
          <w:szCs w:val="22"/>
        </w:rPr>
        <w:br/>
        <w:t>107-126 данного Регламента - к маркировке.</w:t>
      </w:r>
    </w:p>
    <w:p w:rsidR="00594975" w:rsidRDefault="00594975">
      <w:pPr>
        <w:pStyle w:val="ConsPlusNormal"/>
        <w:ind w:firstLine="709"/>
        <w:jc w:val="both"/>
        <w:rPr>
          <w:sz w:val="22"/>
          <w:szCs w:val="22"/>
        </w:rPr>
      </w:pPr>
    </w:p>
    <w:p w:rsidR="00594975" w:rsidRDefault="008A0DF7">
      <w:pPr>
        <w:pStyle w:val="ConsPlusNormal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4.Действия заказчика при </w:t>
      </w:r>
      <w:r>
        <w:rPr>
          <w:b/>
          <w:sz w:val="22"/>
          <w:szCs w:val="22"/>
        </w:rPr>
        <w:t>поступлении продукции, не соответствующей требованиям законодательства</w:t>
      </w:r>
    </w:p>
    <w:p w:rsidR="00594975" w:rsidRDefault="00594975">
      <w:pPr>
        <w:pStyle w:val="ConsPlusNormal"/>
        <w:ind w:firstLine="709"/>
        <w:jc w:val="both"/>
        <w:rPr>
          <w:b/>
          <w:sz w:val="22"/>
          <w:szCs w:val="22"/>
        </w:rPr>
      </w:pP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4.1. В случае наличия обоснованных сомнений в качестве поставляемой продукции, в частности в случае присутствия явно выраженных признаков порчи (несвойственный продукции запах, несоотв</w:t>
      </w:r>
      <w:r>
        <w:rPr>
          <w:sz w:val="22"/>
          <w:szCs w:val="22"/>
        </w:rPr>
        <w:t>етствующая консистенция, изменение цвета, наличие плесени</w:t>
      </w:r>
      <w:r>
        <w:rPr>
          <w:sz w:val="22"/>
          <w:szCs w:val="22"/>
        </w:rPr>
        <w:br/>
        <w:t xml:space="preserve">и др.), а также в случаях отсутствия сопроводительных документов </w:t>
      </w:r>
      <w:r>
        <w:rPr>
          <w:sz w:val="22"/>
          <w:szCs w:val="22"/>
        </w:rPr>
        <w:br/>
        <w:t>на товар (необходимость наличия которых установлена положениями действующего законодательства, в том числе соответствующими техничес</w:t>
      </w:r>
      <w:r>
        <w:rPr>
          <w:sz w:val="22"/>
          <w:szCs w:val="22"/>
        </w:rPr>
        <w:t>кими регламентами), несоответствия представленных документов условиям контракта и/или поставленному товару, поставки товара в ненадлежащей (не соответствующей условиям контракта, технических регламентов или иным положениям законодательства) упаковке, Заказ</w:t>
      </w:r>
      <w:r>
        <w:rPr>
          <w:sz w:val="22"/>
          <w:szCs w:val="22"/>
        </w:rPr>
        <w:t xml:space="preserve">чик </w:t>
      </w:r>
      <w:r>
        <w:rPr>
          <w:sz w:val="22"/>
          <w:szCs w:val="22"/>
        </w:rPr>
        <w:br/>
        <w:t>не принимает продукцию  и сообщает поставщику о необходимости замены такого товара.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В случае согласия поставщика на замену товара оформляется возвратный ветеринарный сертификат на продукцию. Поставщик забирает товар и производит замену в сроки, </w:t>
      </w:r>
      <w:r>
        <w:rPr>
          <w:sz w:val="22"/>
          <w:szCs w:val="22"/>
        </w:rPr>
        <w:t>установленные контрактом для поставки продукции.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В случае отказа поставщика от замены товара, осуществленного в порядке, предусмотренном положениями заключенного контракта и </w:t>
      </w:r>
      <w:proofErr w:type="spellStart"/>
      <w:r>
        <w:rPr>
          <w:sz w:val="22"/>
          <w:szCs w:val="22"/>
        </w:rPr>
        <w:t>законодательства,рекомендуется</w:t>
      </w:r>
      <w:proofErr w:type="spellEnd"/>
      <w:r>
        <w:rPr>
          <w:sz w:val="22"/>
          <w:szCs w:val="22"/>
        </w:rPr>
        <w:t xml:space="preserve"> провести экспертизу товара с привлечением спец</w:t>
      </w:r>
      <w:r>
        <w:rPr>
          <w:sz w:val="22"/>
          <w:szCs w:val="22"/>
        </w:rPr>
        <w:t xml:space="preserve">иалиста государственной ветеринарной службы соответствующего районного (городского) отдела ветеринарии, </w:t>
      </w:r>
      <w:r>
        <w:rPr>
          <w:sz w:val="22"/>
          <w:szCs w:val="22"/>
        </w:rPr>
        <w:br/>
        <w:t>и при необходимости  произвести отбор проб продукции для проведения лабораторных испытаний.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4.3.1. Заказчик сообщает о необходимости участия в оценке к</w:t>
      </w:r>
      <w:r>
        <w:rPr>
          <w:sz w:val="22"/>
          <w:szCs w:val="22"/>
        </w:rPr>
        <w:t xml:space="preserve">ачества </w:t>
      </w:r>
      <w:r>
        <w:rPr>
          <w:sz w:val="22"/>
          <w:szCs w:val="22"/>
        </w:rPr>
        <w:br/>
        <w:t xml:space="preserve">и безопасности поступившей продукции </w:t>
      </w:r>
      <w:proofErr w:type="spellStart"/>
      <w:r>
        <w:rPr>
          <w:sz w:val="22"/>
          <w:szCs w:val="22"/>
        </w:rPr>
        <w:t>руководителюсоответствующего</w:t>
      </w:r>
      <w:proofErr w:type="spellEnd"/>
      <w:r>
        <w:rPr>
          <w:sz w:val="22"/>
          <w:szCs w:val="22"/>
        </w:rPr>
        <w:t xml:space="preserve"> районного (городского) отдела </w:t>
      </w:r>
      <w:proofErr w:type="spellStart"/>
      <w:r>
        <w:rPr>
          <w:sz w:val="22"/>
          <w:szCs w:val="22"/>
        </w:rPr>
        <w:t>ветеринариипосредством</w:t>
      </w:r>
      <w:proofErr w:type="spellEnd"/>
      <w:r>
        <w:rPr>
          <w:sz w:val="22"/>
          <w:szCs w:val="22"/>
        </w:rPr>
        <w:t xml:space="preserve"> телефонной (мобильной) связи, либо </w:t>
      </w:r>
      <w:r>
        <w:rPr>
          <w:sz w:val="22"/>
          <w:szCs w:val="22"/>
        </w:rPr>
        <w:br/>
        <w:t xml:space="preserve">на адрес электронной </w:t>
      </w:r>
      <w:proofErr w:type="spellStart"/>
      <w:r>
        <w:rPr>
          <w:sz w:val="22"/>
          <w:szCs w:val="22"/>
        </w:rPr>
        <w:t>почты,опубликованные</w:t>
      </w:r>
      <w:proofErr w:type="spellEnd"/>
      <w:r>
        <w:rPr>
          <w:sz w:val="22"/>
          <w:szCs w:val="22"/>
        </w:rPr>
        <w:t xml:space="preserve"> на официальном сайте.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4.3.2. По решению заказчика </w:t>
      </w:r>
      <w:r>
        <w:rPr>
          <w:sz w:val="22"/>
          <w:szCs w:val="22"/>
        </w:rPr>
        <w:t xml:space="preserve">согласовывается время прибытия ветеринарного специалиста и поставщика в учреждение. В случае наличия у заказчика обоснованных сомнений в качестве поставляемой продукции, в частности, в случае присутствия явно выраженных признаков порчи, заказчик указывает </w:t>
      </w:r>
      <w:r>
        <w:rPr>
          <w:sz w:val="22"/>
          <w:szCs w:val="22"/>
        </w:rPr>
        <w:t xml:space="preserve">на необходимость привлечения </w:t>
      </w:r>
      <w:r>
        <w:rPr>
          <w:sz w:val="22"/>
          <w:szCs w:val="22"/>
        </w:rPr>
        <w:br/>
        <w:t>к экспертизе государственного ветеринарного инспектора.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4.3.3. По прибытию в учреждение ветеринарный специалист проверяет соответствие продукции представленным </w:t>
      </w:r>
      <w:proofErr w:type="gramStart"/>
      <w:r>
        <w:rPr>
          <w:sz w:val="22"/>
          <w:szCs w:val="22"/>
        </w:rPr>
        <w:t>документам(</w:t>
      </w:r>
      <w:proofErr w:type="gramEnd"/>
      <w:r>
        <w:rPr>
          <w:sz w:val="22"/>
          <w:szCs w:val="22"/>
        </w:rPr>
        <w:t>ветеринарным сертификатам, товаротранспортным накладным</w:t>
      </w:r>
      <w:r>
        <w:rPr>
          <w:sz w:val="22"/>
          <w:szCs w:val="22"/>
        </w:rPr>
        <w:t>), а также проверяет маркировку продукции и условия доставки.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4.3.4. В случае необходимости, </w:t>
      </w:r>
      <w:proofErr w:type="spellStart"/>
      <w:r>
        <w:rPr>
          <w:sz w:val="22"/>
          <w:szCs w:val="22"/>
        </w:rPr>
        <w:t>ветеринарнымспециалистом</w:t>
      </w:r>
      <w:proofErr w:type="spellEnd"/>
      <w:r>
        <w:rPr>
          <w:sz w:val="22"/>
          <w:szCs w:val="22"/>
        </w:rPr>
        <w:t xml:space="preserve"> в присутствии поставщика и </w:t>
      </w:r>
      <w:proofErr w:type="spellStart"/>
      <w:r>
        <w:rPr>
          <w:sz w:val="22"/>
          <w:szCs w:val="22"/>
        </w:rPr>
        <w:t>заказчикапроизводится</w:t>
      </w:r>
      <w:proofErr w:type="spellEnd"/>
      <w:r>
        <w:rPr>
          <w:sz w:val="22"/>
          <w:szCs w:val="22"/>
        </w:rPr>
        <w:t xml:space="preserve"> отбор проб поступившей продукции (с </w:t>
      </w:r>
      <w:proofErr w:type="gramStart"/>
      <w:r>
        <w:rPr>
          <w:sz w:val="22"/>
          <w:szCs w:val="22"/>
        </w:rPr>
        <w:t>отбором  контрольной</w:t>
      </w:r>
      <w:proofErr w:type="gramEnd"/>
      <w:r>
        <w:rPr>
          <w:sz w:val="22"/>
          <w:szCs w:val="22"/>
        </w:rPr>
        <w:t xml:space="preserve"> пробы), в соответствии с требова</w:t>
      </w:r>
      <w:r>
        <w:rPr>
          <w:sz w:val="22"/>
          <w:szCs w:val="22"/>
        </w:rPr>
        <w:t xml:space="preserve">ниями соответствующих технических регламентов </w:t>
      </w:r>
      <w:proofErr w:type="spellStart"/>
      <w:r>
        <w:rPr>
          <w:sz w:val="22"/>
          <w:szCs w:val="22"/>
        </w:rPr>
        <w:t>иГОСТ</w:t>
      </w:r>
      <w:proofErr w:type="spellEnd"/>
      <w:r>
        <w:rPr>
          <w:sz w:val="22"/>
          <w:szCs w:val="22"/>
        </w:rPr>
        <w:t xml:space="preserve"> в зависимости от вида продукции, в том числе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отборе проб молока и молочной продукции -ГОСТ  Р ИСО 707-2010 «Молоко </w:t>
      </w:r>
      <w:r>
        <w:rPr>
          <w:sz w:val="22"/>
          <w:szCs w:val="22"/>
        </w:rPr>
        <w:br/>
        <w:t xml:space="preserve">и молочные продукты. Руководство по отбору проб»; ГОСТ 26809.1-2014 «Молоко </w:t>
      </w:r>
      <w:r>
        <w:rPr>
          <w:sz w:val="22"/>
          <w:szCs w:val="22"/>
        </w:rPr>
        <w:br/>
        <w:t>и  моло</w:t>
      </w:r>
      <w:r>
        <w:rPr>
          <w:sz w:val="22"/>
          <w:szCs w:val="22"/>
        </w:rPr>
        <w:t xml:space="preserve">чная продукция. Правила приемки, методы отбора и подготовка проб к анализу. Часть 1. Молоко, молочные, молочные составные и </w:t>
      </w:r>
      <w:proofErr w:type="spellStart"/>
      <w:r>
        <w:rPr>
          <w:sz w:val="22"/>
          <w:szCs w:val="22"/>
        </w:rPr>
        <w:t>молокосодержащие</w:t>
      </w:r>
      <w:proofErr w:type="spellEnd"/>
      <w:r>
        <w:rPr>
          <w:sz w:val="22"/>
          <w:szCs w:val="22"/>
        </w:rPr>
        <w:t xml:space="preserve"> продукты»; ГОСТ 26809.2-2014 «</w:t>
      </w:r>
      <w:r>
        <w:rPr>
          <w:spacing w:val="2"/>
          <w:sz w:val="22"/>
          <w:szCs w:val="22"/>
        </w:rPr>
        <w:t xml:space="preserve">Молоко и молочная продукция. Правила приемки, методы отбора </w:t>
      </w:r>
      <w:r>
        <w:rPr>
          <w:spacing w:val="2"/>
          <w:sz w:val="22"/>
          <w:szCs w:val="22"/>
        </w:rPr>
        <w:br/>
        <w:t>и подготовка проб к анал</w:t>
      </w:r>
      <w:r>
        <w:rPr>
          <w:spacing w:val="2"/>
          <w:sz w:val="22"/>
          <w:szCs w:val="22"/>
        </w:rPr>
        <w:t xml:space="preserve">изу. Часть 2. Масло из коровьего молока, спреды, сыры </w:t>
      </w:r>
      <w:r>
        <w:rPr>
          <w:spacing w:val="2"/>
          <w:sz w:val="22"/>
          <w:szCs w:val="22"/>
        </w:rPr>
        <w:br/>
        <w:t>и сырные продукты, плавленые сыры и плавленые сырные продукты»</w:t>
      </w:r>
      <w:r>
        <w:rPr>
          <w:sz w:val="22"/>
          <w:szCs w:val="22"/>
        </w:rPr>
        <w:t>;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 отборе проб мяса и мясной продукции – ГОСТ Р 51447-99 «Мясо и мясные продукты. Методы отбора проб»; ГОСТ 7269-2015 «Мясо. Методы отбо</w:t>
      </w:r>
      <w:r>
        <w:rPr>
          <w:sz w:val="22"/>
          <w:szCs w:val="22"/>
        </w:rPr>
        <w:t xml:space="preserve">ра образцов </w:t>
      </w:r>
      <w:r>
        <w:rPr>
          <w:sz w:val="22"/>
          <w:szCs w:val="22"/>
        </w:rPr>
        <w:br/>
        <w:t>и органолептические методы определения свежести».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4.3.5. Составляется акт отбора проб с указанием, на какие лабораторные параметры должна быть исследована продукция. Данный акт подписывается ветеринарным </w:t>
      </w:r>
      <w:proofErr w:type="spellStart"/>
      <w:proofErr w:type="gramStart"/>
      <w:r>
        <w:rPr>
          <w:sz w:val="22"/>
          <w:szCs w:val="22"/>
        </w:rPr>
        <w:t>специалистом,государственным</w:t>
      </w:r>
      <w:proofErr w:type="spellEnd"/>
      <w:proofErr w:type="gramEnd"/>
      <w:r>
        <w:rPr>
          <w:sz w:val="22"/>
          <w:szCs w:val="22"/>
        </w:rPr>
        <w:t xml:space="preserve"> ветеринарн</w:t>
      </w:r>
      <w:r>
        <w:rPr>
          <w:sz w:val="22"/>
          <w:szCs w:val="22"/>
        </w:rPr>
        <w:t>ым инспектором, заказчиком и поставщиком. В акте указывается, что исследование проводится в рамках осуществления Службой ветеринарного надзора Красноярского края контрольных(надзорных) функций. В данном случае лабораторные исследования проводятся на безвоз</w:t>
      </w:r>
      <w:r>
        <w:rPr>
          <w:sz w:val="22"/>
          <w:szCs w:val="22"/>
        </w:rPr>
        <w:t>мездной основе. При отказе поставщика от подписи в акте отбора проб составляется акт об отказе.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proofErr w:type="gramStart"/>
      <w:r>
        <w:rPr>
          <w:sz w:val="22"/>
          <w:szCs w:val="22"/>
        </w:rPr>
        <w:t>6.Пробы</w:t>
      </w:r>
      <w:proofErr w:type="gramEnd"/>
      <w:r>
        <w:rPr>
          <w:sz w:val="22"/>
          <w:szCs w:val="22"/>
        </w:rPr>
        <w:t xml:space="preserve"> пломбируются и вместе с актом отбора проб доставляются ветеринарным специалистом для исследования в аккредитованную ветеринарную лабораторию.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4.3.7.</w:t>
      </w:r>
      <w:r>
        <w:rPr>
          <w:sz w:val="22"/>
          <w:szCs w:val="22"/>
        </w:rPr>
        <w:t xml:space="preserve"> На период лабораторных исследований продукция находится </w:t>
      </w:r>
      <w:r>
        <w:rPr>
          <w:sz w:val="22"/>
          <w:szCs w:val="22"/>
        </w:rPr>
        <w:br/>
        <w:t xml:space="preserve">на ответственном хранении у заказчика, использование (употребление) продукции </w:t>
      </w:r>
      <w:r>
        <w:rPr>
          <w:sz w:val="22"/>
          <w:szCs w:val="22"/>
        </w:rPr>
        <w:br/>
        <w:t>до получения результата исследований не допускается.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4.3.8. Привлечение поставщика к процедуре отбора проб рекомендуетс</w:t>
      </w:r>
      <w:r>
        <w:rPr>
          <w:sz w:val="22"/>
          <w:szCs w:val="22"/>
        </w:rPr>
        <w:t>я с целью минимизации рисков в случае возникновения споров по исполнению условий контракта между заказчиком и поставщиком. При этом действия, указанные в подпунктах4.3.2 – 4.3.5 настоящей Инструкции, в отдельных случаях могут быть осуществлены в отсутствие</w:t>
      </w:r>
      <w:r>
        <w:rPr>
          <w:sz w:val="22"/>
          <w:szCs w:val="22"/>
        </w:rPr>
        <w:t xml:space="preserve"> представителя поставщика в рамках проведения экспертизы продукции с привлечением экспертной организации в соответствии с условиями контракта, заключенного между заказчиком и поставщиком.</w:t>
      </w:r>
    </w:p>
    <w:p w:rsidR="00594975" w:rsidRDefault="00594975">
      <w:pPr>
        <w:pStyle w:val="ConsPlusNormal"/>
        <w:ind w:firstLine="709"/>
        <w:jc w:val="both"/>
        <w:rPr>
          <w:sz w:val="22"/>
          <w:szCs w:val="22"/>
        </w:rPr>
      </w:pPr>
    </w:p>
    <w:p w:rsidR="00594975" w:rsidRDefault="008A0DF7">
      <w:pPr>
        <w:pStyle w:val="ConsPlusNormal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Решение по использованию продукции</w:t>
      </w:r>
    </w:p>
    <w:p w:rsidR="00594975" w:rsidRDefault="00594975">
      <w:pPr>
        <w:pStyle w:val="ConsPlusNormal"/>
        <w:ind w:firstLine="709"/>
        <w:jc w:val="both"/>
        <w:rPr>
          <w:b/>
          <w:sz w:val="22"/>
          <w:szCs w:val="22"/>
        </w:rPr>
      </w:pP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5.1.Заказчик получает от вет</w:t>
      </w:r>
      <w:r>
        <w:rPr>
          <w:sz w:val="22"/>
          <w:szCs w:val="22"/>
        </w:rPr>
        <w:t xml:space="preserve">еринарной лаборатории протокол испытания продукции, по результатам </w:t>
      </w:r>
      <w:proofErr w:type="spellStart"/>
      <w:r>
        <w:rPr>
          <w:sz w:val="22"/>
          <w:szCs w:val="22"/>
        </w:rPr>
        <w:t>котороговетеринарным</w:t>
      </w:r>
      <w:proofErr w:type="spellEnd"/>
      <w:r>
        <w:rPr>
          <w:sz w:val="22"/>
          <w:szCs w:val="22"/>
        </w:rPr>
        <w:t xml:space="preserve"> специалистом принимается решение</w:t>
      </w:r>
      <w:r>
        <w:rPr>
          <w:sz w:val="22"/>
          <w:szCs w:val="22"/>
        </w:rPr>
        <w:br/>
        <w:t>по использованию продукции.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5.1.2. В случае выявления некачественной и небезопасной продукции она может быть возвращена поставщику, с д</w:t>
      </w:r>
      <w:r>
        <w:rPr>
          <w:sz w:val="22"/>
          <w:szCs w:val="22"/>
        </w:rPr>
        <w:t xml:space="preserve">альнейшим применением </w:t>
      </w:r>
      <w:proofErr w:type="spellStart"/>
      <w:r>
        <w:rPr>
          <w:sz w:val="22"/>
          <w:szCs w:val="22"/>
        </w:rPr>
        <w:t>контрольно</w:t>
      </w:r>
      <w:proofErr w:type="spellEnd"/>
      <w:r>
        <w:rPr>
          <w:sz w:val="22"/>
          <w:szCs w:val="22"/>
        </w:rPr>
        <w:t>(надзорных) мероприятий на объектах, откуда поставлялась продукция.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5.1.3. Продукция может быть утилизирована, с участием органа ветеринарного контроля.</w:t>
      </w:r>
    </w:p>
    <w:p w:rsidR="00594975" w:rsidRDefault="008A0DF7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5.1.4. Продукция может быть уничтожена как биологические отходы под кон</w:t>
      </w:r>
      <w:r>
        <w:rPr>
          <w:sz w:val="22"/>
          <w:szCs w:val="22"/>
        </w:rPr>
        <w:t>тролем ветеринарной службы территории, с отметкой в акте выполненных работ предприятием, где производилось уничтожение.</w:t>
      </w:r>
    </w:p>
    <w:p w:rsidR="00594975" w:rsidRDefault="00594975">
      <w:pPr>
        <w:ind w:firstLine="709"/>
        <w:jc w:val="right"/>
        <w:outlineLvl w:val="1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keepNext/>
        <w:keepLines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594975">
      <w:pPr>
        <w:keepNext/>
        <w:keepLines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594975" w:rsidRDefault="00594975">
      <w:pPr>
        <w:keepNext/>
        <w:keepLines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94975" w:rsidRDefault="008A0DF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  <w:sectPr w:rsidR="00594975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br w:type="page"/>
      </w:r>
    </w:p>
    <w:p w:rsidR="00594975" w:rsidRDefault="0059497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594975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84219"/>
    <w:multiLevelType w:val="multilevel"/>
    <w:tmpl w:val="09484219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a"/>
      <w:suff w:val="space"/>
      <w:lvlText w:val="%1.%2."/>
      <w:lvlJc w:val="left"/>
      <w:pPr>
        <w:ind w:left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75"/>
    <w:rsid w:val="00594975"/>
    <w:rsid w:val="008A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9861C"/>
  <w15:docId w15:val="{051633C7-A3E7-44B0-B419-B4A5DB1E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pPr>
      <w:keepNext/>
      <w:jc w:val="right"/>
      <w:outlineLvl w:val="3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qFormat/>
    <w:rPr>
      <w:vertAlign w:val="superscript"/>
    </w:rPr>
  </w:style>
  <w:style w:type="character" w:styleId="a5">
    <w:name w:val="endnote reference"/>
    <w:basedOn w:val="a1"/>
    <w:qFormat/>
    <w:rPr>
      <w:vertAlign w:val="superscript"/>
    </w:rPr>
  </w:style>
  <w:style w:type="character" w:styleId="a6">
    <w:name w:val="Hyperlink"/>
    <w:qFormat/>
    <w:rPr>
      <w:color w:val="0000FF"/>
      <w:u w:val="single"/>
    </w:rPr>
  </w:style>
  <w:style w:type="paragraph" w:styleId="a7">
    <w:name w:val="Balloon Text"/>
    <w:basedOn w:val="a0"/>
    <w:link w:val="a8"/>
    <w:uiPriority w:val="99"/>
    <w:semiHidden/>
    <w:unhideWhenUsed/>
    <w:qFormat/>
    <w:rPr>
      <w:rFonts w:ascii="Segoe UI" w:hAnsi="Segoe UI" w:cs="Segoe UI"/>
    </w:rPr>
  </w:style>
  <w:style w:type="paragraph" w:styleId="31">
    <w:name w:val="Body Text Indent 3"/>
    <w:basedOn w:val="a0"/>
    <w:link w:val="32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9">
    <w:name w:val="endnote text"/>
    <w:basedOn w:val="a0"/>
    <w:link w:val="aa"/>
    <w:qFormat/>
    <w:rPr>
      <w:rFonts w:eastAsia="SimSun" w:cs="Times New Roman"/>
      <w:sz w:val="20"/>
      <w:szCs w:val="20"/>
    </w:rPr>
  </w:style>
  <w:style w:type="paragraph" w:styleId="ab">
    <w:name w:val="annotation text"/>
    <w:basedOn w:val="a0"/>
    <w:link w:val="ac"/>
    <w:uiPriority w:val="99"/>
    <w:semiHidden/>
    <w:unhideWhenUsed/>
    <w:qFormat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0"/>
    <w:link w:val="af0"/>
    <w:qFormat/>
    <w:rPr>
      <w:rFonts w:cs="Times New Roman"/>
      <w:sz w:val="20"/>
      <w:szCs w:val="20"/>
    </w:rPr>
  </w:style>
  <w:style w:type="paragraph" w:styleId="af1">
    <w:name w:val="header"/>
    <w:basedOn w:val="a0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0"/>
    <w:link w:val="af4"/>
    <w:qFormat/>
    <w:pPr>
      <w:spacing w:after="120"/>
    </w:pPr>
  </w:style>
  <w:style w:type="paragraph" w:styleId="af5">
    <w:name w:val="Body Text Indent"/>
    <w:basedOn w:val="a0"/>
    <w:link w:val="af6"/>
    <w:qFormat/>
    <w:pPr>
      <w:spacing w:after="120"/>
      <w:ind w:left="283"/>
    </w:pPr>
  </w:style>
  <w:style w:type="paragraph" w:styleId="af7">
    <w:name w:val="Title"/>
    <w:basedOn w:val="a0"/>
    <w:link w:val="af8"/>
    <w:qFormat/>
    <w:pPr>
      <w:widowControl/>
      <w:autoSpaceDE/>
      <w:autoSpaceDN/>
      <w:adjustRightInd/>
      <w:jc w:val="center"/>
    </w:pPr>
    <w:rPr>
      <w:rFonts w:ascii="Arial CYR" w:eastAsia="MS Mincho" w:hAnsi="Arial CYR" w:cs="Times New Roman"/>
      <w:b/>
      <w:sz w:val="28"/>
      <w:szCs w:val="20"/>
      <w:lang w:eastAsia="en-US"/>
    </w:rPr>
  </w:style>
  <w:style w:type="paragraph" w:styleId="af9">
    <w:name w:val="footer"/>
    <w:basedOn w:val="a0"/>
    <w:link w:val="afa"/>
    <w:qFormat/>
    <w:pPr>
      <w:tabs>
        <w:tab w:val="center" w:pos="4677"/>
        <w:tab w:val="right" w:pos="9355"/>
      </w:tabs>
    </w:pPr>
  </w:style>
  <w:style w:type="paragraph" w:styleId="afb">
    <w:name w:val="Normal (Web)"/>
    <w:basedOn w:val="a0"/>
    <w:link w:val="afc"/>
    <w:uiPriority w:val="99"/>
    <w:unhideWhenUsed/>
    <w:qFormat/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0"/>
    <w:link w:val="34"/>
    <w:qFormat/>
    <w:pPr>
      <w:spacing w:after="120"/>
    </w:pPr>
    <w:rPr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table" w:styleId="afd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qFormat/>
    <w:rPr>
      <w:rFonts w:ascii="Arial" w:eastAsia="Times New Roman" w:hAnsi="Arial" w:cs="Arial"/>
      <w:b/>
      <w:sz w:val="18"/>
      <w:szCs w:val="18"/>
      <w:lang w:eastAsia="ru-RU"/>
    </w:rPr>
  </w:style>
  <w:style w:type="character" w:customStyle="1" w:styleId="af4">
    <w:name w:val="Основной текст Знак"/>
    <w:basedOn w:val="a1"/>
    <w:link w:val="af3"/>
    <w:qFormat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6">
    <w:name w:val="Основной текст с отступом Знак"/>
    <w:basedOn w:val="a1"/>
    <w:link w:val="af5"/>
    <w:qFormat/>
    <w:rPr>
      <w:rFonts w:ascii="Arial" w:eastAsia="Times New Roman" w:hAnsi="Arial" w:cs="Arial"/>
      <w:sz w:val="18"/>
      <w:szCs w:val="18"/>
      <w:lang w:eastAsia="ru-RU"/>
    </w:rPr>
  </w:style>
  <w:style w:type="paragraph" w:styleId="afe">
    <w:name w:val="List Paragraph"/>
    <w:basedOn w:val="a0"/>
    <w:link w:val="aff"/>
    <w:uiPriority w:val="34"/>
    <w:qFormat/>
    <w:pPr>
      <w:ind w:left="720"/>
      <w:contextualSpacing/>
    </w:p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_Style 56"/>
    <w:basedOn w:val="a0"/>
    <w:next w:val="afb"/>
    <w:uiPriority w:val="99"/>
    <w:qFormat/>
    <w:pPr>
      <w:keepNext/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qFormat/>
    <w:rPr>
      <w:rFonts w:eastAsia="Times New Roman"/>
    </w:rPr>
  </w:style>
  <w:style w:type="paragraph" w:customStyle="1" w:styleId="Style6">
    <w:name w:val="Style6"/>
    <w:basedOn w:val="a0"/>
    <w:uiPriority w:val="99"/>
    <w:qFormat/>
    <w:pPr>
      <w:spacing w:line="228" w:lineRule="exact"/>
      <w:ind w:firstLine="936"/>
    </w:pPr>
    <w:rPr>
      <w:rFonts w:ascii="Times New Roman" w:hAnsi="Times New Roman" w:cs="Times New Roman"/>
      <w:sz w:val="24"/>
      <w:szCs w:val="24"/>
    </w:rPr>
  </w:style>
  <w:style w:type="paragraph" w:customStyle="1" w:styleId="a">
    <w:name w:val="Статья_договора"/>
    <w:basedOn w:val="a0"/>
    <w:qFormat/>
    <w:pPr>
      <w:widowControl/>
      <w:numPr>
        <w:ilvl w:val="1"/>
        <w:numId w:val="1"/>
      </w:numPr>
      <w:autoSpaceDE/>
      <w:autoSpaceDN/>
      <w:adjustRightInd/>
      <w:jc w:val="both"/>
      <w:outlineLvl w:val="1"/>
    </w:pPr>
    <w:rPr>
      <w:rFonts w:cs="Times New Roman"/>
      <w:sz w:val="22"/>
      <w:szCs w:val="22"/>
    </w:rPr>
  </w:style>
  <w:style w:type="character" w:customStyle="1" w:styleId="aa">
    <w:name w:val="Текст концевой сноски Знак"/>
    <w:basedOn w:val="a1"/>
    <w:link w:val="a9"/>
    <w:qFormat/>
    <w:rPr>
      <w:rFonts w:ascii="Arial" w:eastAsia="SimSu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18"/>
      <w:szCs w:val="18"/>
      <w:lang w:eastAsia="ru-RU"/>
    </w:rPr>
  </w:style>
  <w:style w:type="character" w:customStyle="1" w:styleId="10">
    <w:name w:val="Заголовок 1 Знак"/>
    <w:basedOn w:val="a1"/>
    <w:link w:val="1"/>
    <w:qFormat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8">
    <w:name w:val="Текст выноски Знак"/>
    <w:basedOn w:val="a1"/>
    <w:link w:val="a7"/>
    <w:uiPriority w:val="99"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2">
    <w:name w:val="Текст выноски Знак1"/>
    <w:basedOn w:val="a1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примечания Знак"/>
    <w:basedOn w:val="a1"/>
    <w:link w:val="ab"/>
    <w:uiPriority w:val="99"/>
    <w:semiHidden/>
    <w:qFormat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3">
    <w:name w:val="Текст примечания Знак1"/>
    <w:basedOn w:val="a1"/>
    <w:uiPriority w:val="99"/>
    <w:semiHidden/>
    <w:qFormat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semiHidden/>
    <w:qFormat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qFormat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1"/>
    <w:link w:val="af1"/>
    <w:qFormat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a">
    <w:name w:val="Нижний колонтитул Знак"/>
    <w:basedOn w:val="a1"/>
    <w:link w:val="af9"/>
    <w:qFormat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c">
    <w:name w:val="Обычный (веб) Знак"/>
    <w:link w:val="afb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1"/>
    <w:link w:val="33"/>
    <w:qFormat/>
    <w:rPr>
      <w:rFonts w:ascii="Arial" w:eastAsia="Times New Roman" w:hAnsi="Arial" w:cs="Arial"/>
      <w:sz w:val="16"/>
      <w:szCs w:val="16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Обычный + по ширине"/>
    <w:basedOn w:val="a0"/>
    <w:uiPriority w:val="99"/>
    <w:qFormat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Tahoma"/>
    </w:rPr>
  </w:style>
  <w:style w:type="paragraph" w:customStyle="1" w:styleId="ConsNormal">
    <w:name w:val="ConsNormal"/>
    <w:link w:val="ConsNormal0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character" w:customStyle="1" w:styleId="ConsNormal0">
    <w:name w:val="ConsNormal Знак"/>
    <w:link w:val="ConsNormal"/>
    <w:qFormat/>
    <w:locked/>
    <w:rPr>
      <w:rFonts w:ascii="Arial" w:eastAsia="Times New Roman" w:hAnsi="Arial" w:cs="Arial"/>
      <w:lang w:eastAsia="ru-RU"/>
    </w:rPr>
  </w:style>
  <w:style w:type="paragraph" w:customStyle="1" w:styleId="Heading">
    <w:name w:val="Heading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5">
    <w:name w:val="Знак1"/>
    <w:basedOn w:val="a0"/>
    <w:qFormat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Iniiaiieoaeno21">
    <w:name w:val="Iniiaiie oaeno 21"/>
    <w:basedOn w:val="a0"/>
    <w:qFormat/>
    <w:pPr>
      <w:overflowPunct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аздел_договора"/>
    <w:basedOn w:val="1"/>
    <w:qFormat/>
    <w:pPr>
      <w:keepLines/>
      <w:widowControl/>
      <w:suppressAutoHyphens/>
      <w:autoSpaceDE/>
      <w:autoSpaceDN/>
      <w:adjustRightInd/>
      <w:spacing w:before="60"/>
      <w:jc w:val="center"/>
    </w:pPr>
    <w:rPr>
      <w:rFonts w:ascii="Verdana" w:hAnsi="Verdana" w:cs="Times New Roman"/>
      <w:caps/>
      <w:kern w:val="28"/>
      <w:sz w:val="22"/>
      <w:szCs w:val="22"/>
    </w:rPr>
  </w:style>
  <w:style w:type="paragraph" w:customStyle="1" w:styleId="PG2">
    <w:name w:val="PG2"/>
    <w:basedOn w:val="2"/>
    <w:qFormat/>
    <w:pPr>
      <w:keepNext w:val="0"/>
      <w:keepLines w:val="0"/>
      <w:widowControl/>
      <w:tabs>
        <w:tab w:val="left" w:pos="530"/>
        <w:tab w:val="left" w:pos="1100"/>
      </w:tabs>
      <w:autoSpaceDE/>
      <w:autoSpaceDN/>
      <w:adjustRightInd/>
      <w:spacing w:before="0"/>
      <w:ind w:left="170"/>
      <w:jc w:val="both"/>
    </w:pPr>
    <w:rPr>
      <w:rFonts w:ascii="Arial" w:eastAsia="Calibri" w:hAnsi="Arial" w:cs="Times New Roman"/>
      <w:b w:val="0"/>
      <w:bCs w:val="0"/>
      <w:color w:val="auto"/>
      <w:sz w:val="24"/>
      <w:szCs w:val="20"/>
    </w:rPr>
  </w:style>
  <w:style w:type="paragraph" w:customStyle="1" w:styleId="110">
    <w:name w:val="Абзац списка11"/>
    <w:basedOn w:val="a0"/>
    <w:qFormat/>
    <w:pPr>
      <w:suppressAutoHyphens/>
      <w:autoSpaceDE/>
      <w:autoSpaceDN/>
      <w:adjustRightInd/>
      <w:spacing w:before="60" w:after="60"/>
      <w:ind w:left="708" w:firstLine="7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-">
    <w:name w:val="Контракт-пункт"/>
    <w:basedOn w:val="a0"/>
    <w:qFormat/>
    <w:pPr>
      <w:widowControl/>
      <w:tabs>
        <w:tab w:val="left" w:pos="851"/>
      </w:tabs>
      <w:autoSpaceDE/>
      <w:autoSpaceDN/>
      <w:adjustRightInd/>
      <w:ind w:left="851" w:hanging="85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-0">
    <w:name w:val="Контракт-раздел"/>
    <w:basedOn w:val="a0"/>
    <w:next w:val="-"/>
    <w:qFormat/>
    <w:pPr>
      <w:keepNext/>
      <w:widowControl/>
      <w:tabs>
        <w:tab w:val="left" w:pos="0"/>
        <w:tab w:val="left" w:pos="540"/>
      </w:tabs>
      <w:suppressAutoHyphens/>
      <w:autoSpaceDE/>
      <w:autoSpaceDN/>
      <w:adjustRightInd/>
      <w:spacing w:before="360" w:after="120"/>
      <w:jc w:val="center"/>
      <w:outlineLvl w:val="3"/>
    </w:pPr>
    <w:rPr>
      <w:rFonts w:ascii="Times New Roman" w:hAnsi="Times New Roman" w:cs="Times New Roman"/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0"/>
    <w:qFormat/>
    <w:pPr>
      <w:widowControl/>
      <w:tabs>
        <w:tab w:val="left" w:pos="851"/>
      </w:tabs>
      <w:autoSpaceDE/>
      <w:autoSpaceDN/>
      <w:adjustRightInd/>
      <w:ind w:left="851" w:hanging="85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-2">
    <w:name w:val="Контракт-подподпункт"/>
    <w:basedOn w:val="a0"/>
    <w:qFormat/>
    <w:pPr>
      <w:widowControl/>
      <w:tabs>
        <w:tab w:val="left" w:pos="1418"/>
      </w:tabs>
      <w:autoSpaceDE/>
      <w:autoSpaceDN/>
      <w:adjustRightInd/>
      <w:ind w:left="1418" w:hanging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heading1normalunnumbered">
    <w:name w:val="heading 1 normal unnumbered"/>
    <w:basedOn w:val="a0"/>
    <w:next w:val="a0"/>
    <w:uiPriority w:val="9"/>
    <w:qFormat/>
    <w:pPr>
      <w:widowControl/>
      <w:autoSpaceDE/>
      <w:autoSpaceDN/>
      <w:adjustRightInd/>
      <w:spacing w:before="120" w:after="120" w:line="276" w:lineRule="auto"/>
      <w:ind w:firstLine="482"/>
      <w:jc w:val="both"/>
      <w:outlineLvl w:val="0"/>
    </w:pPr>
    <w:rPr>
      <w:rFonts w:ascii="Times New Roman" w:hAnsi="Times New Roman" w:cs="Times New Roman"/>
      <w:sz w:val="22"/>
      <w:szCs w:val="22"/>
    </w:rPr>
  </w:style>
  <w:style w:type="paragraph" w:styleId="21">
    <w:name w:val="Quote"/>
    <w:basedOn w:val="a0"/>
    <w:next w:val="a0"/>
    <w:link w:val="22"/>
    <w:uiPriority w:val="29"/>
    <w:qFormat/>
    <w:pPr>
      <w:widowControl/>
      <w:pBdr>
        <w:left w:val="single" w:sz="24" w:space="10" w:color="999999"/>
      </w:pBdr>
      <w:autoSpaceDE/>
      <w:autoSpaceDN/>
      <w:adjustRightInd/>
      <w:spacing w:before="120" w:line="276" w:lineRule="auto"/>
      <w:ind w:left="964"/>
      <w:jc w:val="both"/>
    </w:pPr>
    <w:rPr>
      <w:rFonts w:ascii="Times New Roman" w:hAnsi="Times New Roman" w:cs="Times New Roman"/>
      <w:i/>
      <w:iCs/>
      <w:color w:val="8064A2"/>
      <w:sz w:val="22"/>
      <w:szCs w:val="22"/>
    </w:rPr>
  </w:style>
  <w:style w:type="character" w:customStyle="1" w:styleId="22">
    <w:name w:val="Цитата 2 Знак"/>
    <w:basedOn w:val="a1"/>
    <w:link w:val="21"/>
    <w:uiPriority w:val="29"/>
    <w:qFormat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Warning">
    <w:name w:val="Warning"/>
    <w:basedOn w:val="a0"/>
    <w:next w:val="a0"/>
    <w:uiPriority w:val="29"/>
    <w:qFormat/>
    <w:pPr>
      <w:widowControl/>
      <w:pBdr>
        <w:left w:val="single" w:sz="24" w:space="10" w:color="999999"/>
      </w:pBdr>
      <w:autoSpaceDE/>
      <w:autoSpaceDN/>
      <w:adjustRightInd/>
      <w:spacing w:before="120" w:line="276" w:lineRule="auto"/>
      <w:ind w:left="964"/>
      <w:jc w:val="both"/>
    </w:pPr>
    <w:rPr>
      <w:rFonts w:ascii="Times New Roman" w:hAnsi="Times New Roman" w:cs="Times New Roman"/>
      <w:i/>
      <w:iCs/>
      <w:color w:val="E36C0A"/>
      <w:sz w:val="22"/>
      <w:szCs w:val="22"/>
    </w:rPr>
  </w:style>
  <w:style w:type="character" w:customStyle="1" w:styleId="apple-converted-space">
    <w:name w:val="apple-converted-space"/>
    <w:basedOn w:val="a1"/>
    <w:qFormat/>
  </w:style>
  <w:style w:type="paragraph" w:customStyle="1" w:styleId="copyright-info">
    <w:name w:val="copyright-info"/>
    <w:basedOn w:val="a0"/>
    <w:qFormat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qFormat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character" w:customStyle="1" w:styleId="aff2">
    <w:name w:val="Гипертекстовая ссылка"/>
    <w:uiPriority w:val="99"/>
    <w:qFormat/>
    <w:rPr>
      <w:color w:val="106BBE"/>
    </w:rPr>
  </w:style>
  <w:style w:type="paragraph" w:customStyle="1" w:styleId="aff3">
    <w:name w:val="Таблицы (моноширинный)"/>
    <w:basedOn w:val="a0"/>
    <w:next w:val="a0"/>
    <w:uiPriority w:val="99"/>
    <w:qFormat/>
    <w:rPr>
      <w:rFonts w:ascii="Courier New" w:hAnsi="Courier New" w:cs="Courier New"/>
      <w:sz w:val="24"/>
      <w:szCs w:val="24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qFormat/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f4">
    <w:name w:val="Цветовое выделение"/>
    <w:uiPriority w:val="99"/>
    <w:qFormat/>
    <w:rPr>
      <w:b/>
      <w:bCs/>
      <w:color w:val="26282F"/>
    </w:rPr>
  </w:style>
  <w:style w:type="paragraph" w:customStyle="1" w:styleId="aff5">
    <w:name w:val="Нормальный (таблица)"/>
    <w:basedOn w:val="a0"/>
    <w:next w:val="a0"/>
    <w:uiPriority w:val="99"/>
    <w:qFormat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16">
    <w:name w:val="Обычный (веб) Знак1"/>
    <w:qFormat/>
    <w:locked/>
    <w:rPr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0"/>
    <w:qFormat/>
    <w:pPr>
      <w:autoSpaceDE/>
      <w:autoSpaceDN/>
      <w:adjustRightInd/>
      <w:spacing w:line="360" w:lineRule="auto"/>
      <w:ind w:firstLine="720"/>
      <w:jc w:val="both"/>
    </w:pPr>
    <w:rPr>
      <w:rFonts w:ascii="Times New Roman" w:hAnsi="Times New Roman" w:cs="Times New Roman"/>
      <w:sz w:val="26"/>
      <w:szCs w:val="20"/>
    </w:rPr>
  </w:style>
  <w:style w:type="paragraph" w:styleId="aff6">
    <w:name w:val="No Spacing"/>
    <w:uiPriority w:val="1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customStyle="1" w:styleId="af8">
    <w:name w:val="Заголовок Знак"/>
    <w:basedOn w:val="a1"/>
    <w:link w:val="af7"/>
    <w:qFormat/>
    <w:rPr>
      <w:rFonts w:ascii="Arial CYR" w:eastAsia="MS Mincho" w:hAnsi="Arial CYR" w:cs="Times New Roman"/>
      <w:b/>
      <w:sz w:val="28"/>
      <w:szCs w:val="20"/>
    </w:rPr>
  </w:style>
  <w:style w:type="character" w:customStyle="1" w:styleId="aff">
    <w:name w:val="Абзац списка Знак"/>
    <w:link w:val="afe"/>
    <w:uiPriority w:val="34"/>
    <w:qFormat/>
    <w:locked/>
    <w:rPr>
      <w:rFonts w:ascii="Arial" w:eastAsia="Times New Roman" w:hAnsi="Arial" w:cs="Arial"/>
      <w:sz w:val="18"/>
      <w:szCs w:val="18"/>
    </w:rPr>
  </w:style>
  <w:style w:type="paragraph" w:customStyle="1" w:styleId="23">
    <w:name w:val="Основной текст (2)"/>
    <w:basedOn w:val="a0"/>
    <w:qFormat/>
    <w:pPr>
      <w:shd w:val="clear" w:color="auto" w:fill="FFFFFF"/>
      <w:spacing w:before="360" w:after="600" w:line="0" w:lineRule="atLeast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98736-1464-47DD-A16F-8D3CB80E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9182</Words>
  <Characters>52339</Characters>
  <Application>Microsoft Office Word</Application>
  <DocSecurity>0</DocSecurity>
  <Lines>436</Lines>
  <Paragraphs>122</Paragraphs>
  <ScaleCrop>false</ScaleCrop>
  <Company/>
  <LinksUpToDate>false</LinksUpToDate>
  <CharactersWithSpaces>61399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ksuser</dc:creator>
  <cp:lastModifiedBy>Олеся Зозуляк</cp:lastModifiedBy>
  <cp:revision>3</cp:revision>
  <dcterms:created xsi:type="dcterms:W3CDTF">2024-06-26T14:38:00Z</dcterms:created>
  <dcterms:modified xsi:type="dcterms:W3CDTF">2024-07-15T09:50:00Z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4536095A82844C4CB378BEC648154BE4</vt:lpwstr>
  </property>
  <property fmtid="{D5CDD505-2E9C-101B-9397-08002B2CF9AE}" pid="3" name="KSOProductBuildVer">
    <vt:lpwstr>1049-12.2.0.17119</vt:lpwstr>
  </property>
</Properties>
</file>