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media/image2.wmf" ContentType="image/x-wmf"/>
  <Override PartName="/word/media/image7.wmf" ContentType="image/x-wmf"/>
  <Override PartName="/word/media/image3.wmf" ContentType="image/x-wmf"/>
  <Override PartName="/word/media/image4.wmf" ContentType="image/x-wmf"/>
  <Override PartName="/word/media/image5.png" ContentType="image/png"/>
  <Override PartName="/word/media/image6.png" ContentType="image/png"/>
  <Override PartName="/word/media/image1.wmf" ContentType="image/x-wmf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(форма)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9014" w:type="dxa"/>
        <w:jc w:val="left"/>
        <w:tblInd w:w="12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noVBand="0" w:val="0000" w:noHBand="0" w:lastColumn="0" w:firstColumn="0" w:lastRow="0" w:firstRow="0"/>
      </w:tblPr>
      <w:tblGrid>
        <w:gridCol w:w="9014"/>
      </w:tblGrid>
      <w:tr>
        <w:trPr/>
        <w:tc>
          <w:tcPr>
            <w:tcW w:w="9014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ПОРЯДОК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рассмотрения и оценки заявок на участие в конкурсе</w:t>
            </w:r>
          </w:p>
        </w:tc>
      </w:tr>
      <w:tr>
        <w:trPr/>
        <w:tc>
          <w:tcPr>
            <w:tcW w:w="9014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I. Информация о заказчике и закупке товаров, работ, услуг для обеспечения государственных и муниципальных нужд (далее - закупка)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12334" w:type="dxa"/>
        <w:jc w:val="left"/>
        <w:tblInd w:w="12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noVBand="0" w:val="0000" w:noHBand="0" w:lastColumn="0" w:firstColumn="0" w:lastRow="0" w:firstRow="0"/>
      </w:tblPr>
      <w:tblGrid>
        <w:gridCol w:w="3855"/>
        <w:gridCol w:w="2779"/>
        <w:gridCol w:w="1360"/>
        <w:gridCol w:w="4339"/>
      </w:tblGrid>
      <w:tr>
        <w:trPr>
          <w:trHeight w:val="18" w:hRule="atLeast"/>
        </w:trPr>
        <w:tc>
          <w:tcPr>
            <w:tcW w:w="385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7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6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39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85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7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60" w:type="dxa"/>
            <w:tcBorders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Коды</w:t>
            </w:r>
          </w:p>
        </w:tc>
      </w:tr>
      <w:tr>
        <w:trPr/>
        <w:tc>
          <w:tcPr>
            <w:tcW w:w="385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Полное наименование:</w:t>
            </w:r>
          </w:p>
        </w:tc>
        <w:tc>
          <w:tcPr>
            <w:tcW w:w="277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МИНИСТЕРСТВО ТРАНСПОРТА И ДОРОЖНОГО ХОЗЯЙСТВА ПРИМОРСКОГО КРАЯ</w:t>
            </w:r>
          </w:p>
        </w:tc>
        <w:tc>
          <w:tcPr>
            <w:tcW w:w="1360" w:type="dxa"/>
            <w:tcBorders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2538030581</w:t>
            </w:r>
          </w:p>
        </w:tc>
      </w:tr>
      <w:tr>
        <w:trPr/>
        <w:tc>
          <w:tcPr>
            <w:tcW w:w="385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79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60" w:type="dxa"/>
            <w:tcBorders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КПП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253801001</w:t>
            </w:r>
          </w:p>
        </w:tc>
      </w:tr>
      <w:tr>
        <w:trPr/>
        <w:tc>
          <w:tcPr>
            <w:tcW w:w="385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Место нахождения, телефон, адрес электронной почты:</w:t>
            </w:r>
          </w:p>
        </w:tc>
        <w:tc>
          <w:tcPr>
            <w:tcW w:w="277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Российская Федерация, 690033, Приморский край, Владивосток г, УЛИЦА БОРОДИНСКАЯ, ДОМ 12, 7-4232-364286, torgi-road@primorsky.ru</w:t>
            </w:r>
          </w:p>
        </w:tc>
        <w:tc>
          <w:tcPr>
            <w:tcW w:w="1360" w:type="dxa"/>
            <w:tcBorders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по </w:t>
            </w:r>
            <w:hyperlink r:id="rId2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05701000001</w:t>
            </w:r>
          </w:p>
        </w:tc>
      </w:tr>
      <w:tr>
        <w:trPr/>
        <w:tc>
          <w:tcPr>
            <w:tcW w:w="385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бюджетного, автономного учреждения,</w:t>
            </w:r>
          </w:p>
        </w:tc>
        <w:tc>
          <w:tcPr>
            <w:tcW w:w="2779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60" w:type="dxa"/>
            <w:tcBorders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85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</w:t>
            </w:r>
          </w:p>
        </w:tc>
        <w:tc>
          <w:tcPr>
            <w:tcW w:w="2779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60" w:type="dxa"/>
            <w:tcBorders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КПП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85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Место нахождения, телефон, адрес электронной почты</w:t>
            </w:r>
          </w:p>
        </w:tc>
        <w:tc>
          <w:tcPr>
            <w:tcW w:w="277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6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по </w:t>
            </w:r>
            <w:hyperlink r:id="rId3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855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Наименование объекта закупки</w:t>
            </w:r>
          </w:p>
        </w:tc>
        <w:tc>
          <w:tcPr>
            <w:tcW w:w="847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851" w:leader="none"/>
              </w:tabs>
              <w:suppressAutoHyphens w:val="true"/>
              <w:bidi w:val="0"/>
              <w:spacing w:lineRule="auto" w:line="240" w:before="0" w:after="160"/>
              <w:ind w:left="57" w:right="113" w:firstLine="737"/>
              <w:jc w:val="both"/>
              <w:rPr/>
            </w:pPr>
            <w:r>
              <w:rPr>
                <w:rFonts w:eastAsia="Calibri" w:cs="Times New Roman" w:ascii="Times New Roman" w:hAnsi="Times New Roman" w:eastAsiaTheme="minorHAnsi"/>
                <w:b/>
                <w:color w:val="auto"/>
                <w:kern w:val="0"/>
                <w:sz w:val="28"/>
                <w:szCs w:val="28"/>
                <w:lang w:val="ru-RU" w:eastAsia="en-US" w:bidi="ar-SA"/>
              </w:rPr>
              <w:t xml:space="preserve">Осуществление дорожной деятельности </w:t>
            </w:r>
            <w:r>
              <w:rPr>
                <w:rFonts w:eastAsia="Calibri" w:cs="Times New Roman" w:ascii="Times New Roman" w:hAnsi="Times New Roman" w:eastAsiaTheme="minorHAnsi"/>
                <w:b w:val="false"/>
                <w:bCs w:val="false"/>
                <w:color w:val="auto"/>
                <w:kern w:val="0"/>
                <w:sz w:val="28"/>
                <w:szCs w:val="28"/>
                <w:lang w:val="ru-RU" w:eastAsia="en-US" w:bidi="ar-SA"/>
              </w:rPr>
              <w:t xml:space="preserve">– </w:t>
            </w:r>
            <w:r>
              <w:rPr>
                <w:rFonts w:eastAsia="Calibri" w:cs="Times New Roman" w:ascii="Times New Roman" w:hAnsi="Times New Roman" w:eastAsiaTheme="minorHAnsi"/>
                <w:b/>
                <w:color w:val="auto"/>
                <w:kern w:val="0"/>
                <w:sz w:val="28"/>
                <w:szCs w:val="28"/>
                <w:lang w:val="ru-RU" w:eastAsia="en-US" w:bidi="ar-SA"/>
              </w:rPr>
              <w:t xml:space="preserve">ремонт автомобильной дороги регионального значения </w:t>
            </w:r>
            <w:r>
              <w:rPr>
                <w:rFonts w:eastAsia="Calibri" w:cs="Times New Roman" w:ascii="Times New Roman" w:hAnsi="Times New Roman" w:eastAsiaTheme="minorHAnsi"/>
                <w:b/>
                <w:bCs/>
                <w:color w:val="auto"/>
                <w:kern w:val="0"/>
                <w:sz w:val="28"/>
                <w:szCs w:val="28"/>
                <w:lang w:val="ru-RU" w:eastAsia="en-US" w:bidi="ar-SA"/>
              </w:rPr>
              <w:t xml:space="preserve">Осиновка - Рудная Пристань км 0+987 </w:t>
            </w:r>
            <w:r>
              <w:rPr>
                <w:rFonts w:eastAsia="Calibri" w:cs="Times New Roman" w:ascii="Times New Roman" w:hAnsi="Times New Roman" w:eastAsiaTheme="minorHAnsi"/>
                <w:b w:val="false"/>
                <w:bCs w:val="false"/>
                <w:color w:val="auto"/>
                <w:kern w:val="0"/>
                <w:sz w:val="28"/>
                <w:szCs w:val="28"/>
                <w:lang w:val="ru-RU" w:eastAsia="en-US" w:bidi="ar-SA"/>
              </w:rPr>
              <w:t>–</w:t>
            </w:r>
            <w:r>
              <w:rPr>
                <w:rFonts w:eastAsia="Calibri" w:cs="Times New Roman" w:ascii="Times New Roman" w:hAnsi="Times New Roman" w:eastAsiaTheme="minorHAnsi"/>
                <w:b/>
                <w:bCs/>
                <w:color w:val="auto"/>
                <w:kern w:val="0"/>
                <w:sz w:val="28"/>
                <w:szCs w:val="28"/>
                <w:lang w:val="ru-RU" w:eastAsia="en-US" w:bidi="ar-SA"/>
              </w:rPr>
              <w:t xml:space="preserve"> км 3+967</w:t>
            </w:r>
            <w:r>
              <w:rPr>
                <w:rFonts w:eastAsia="Calibri" w:cs="Times New Roman" w:ascii="Times New Roman" w:hAnsi="Times New Roman" w:eastAsiaTheme="minorHAnsi"/>
                <w:b/>
                <w:color w:val="auto"/>
                <w:kern w:val="0"/>
                <w:sz w:val="28"/>
                <w:szCs w:val="28"/>
                <w:lang w:val="ru-RU" w:eastAsia="en-US" w:bidi="ar-SA"/>
              </w:rPr>
              <w:t xml:space="preserve"> Михайловском муниципальном районе на территории Приморского края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9014" w:type="dxa"/>
        <w:jc w:val="left"/>
        <w:tblInd w:w="12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noVBand="0" w:val="0000" w:noHBand="0" w:lastColumn="0" w:firstColumn="0" w:lastRow="0" w:firstRow="0"/>
      </w:tblPr>
      <w:tblGrid>
        <w:gridCol w:w="9014"/>
      </w:tblGrid>
      <w:tr>
        <w:trPr/>
        <w:tc>
          <w:tcPr>
            <w:tcW w:w="9014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II. Критерии и показатели оценки заявок на участие в закупке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15021" w:type="dxa"/>
        <w:jc w:val="left"/>
        <w:tblInd w:w="1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noVBand="0" w:val="0000" w:noHBand="0" w:lastColumn="0" w:firstColumn="0" w:lastRow="0" w:firstRow="0"/>
      </w:tblPr>
      <w:tblGrid>
        <w:gridCol w:w="453"/>
        <w:gridCol w:w="1926"/>
        <w:gridCol w:w="1205"/>
        <w:gridCol w:w="1416"/>
        <w:gridCol w:w="960"/>
        <w:gridCol w:w="2256"/>
        <w:gridCol w:w="1368"/>
        <w:gridCol w:w="5435"/>
      </w:tblGrid>
      <w:tr>
        <w:trPr/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Критерий оценки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Значи-мость критерия оценки, процентов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Показатель оценки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Значи-мость показа-теля оценки, процен-тов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Показатель оценки, детализирующий показатель оценки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Значимость показателя, детализи-рующего показатель оценки, процентов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Формула оценки или шкала оценки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(в соответствии с Постановлением Правительства РФ от 31.12.2021 N 2604 "Об оценке заявок на участие в закупке товаров, работ, услуг для обеспечения государственных и муниципальных нужд, внесении изменений в пункт 4 постановления Правительства Российской Федерации от 20 декабря 2021 г. N 2369 и признании утратившими силу некоторых актов и отдельных положений некоторых актов Правительства Российской Федерации" (далее – Положение)</w:t>
            </w:r>
          </w:p>
        </w:tc>
      </w:tr>
      <w:tr>
        <w:trPr/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Цена контракта, сумма цен единиц товара, работы, услуги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1.Значение количества баллов по критерию оценки "цена контракта, сумма цен единиц товара, работы", присваиваемое заявке, которая подлежит в соответствии с Федеральным </w:t>
            </w:r>
            <w:hyperlink r:id="rId4">
              <w:r>
                <w:rPr>
                  <w:rFonts w:cs="Times New Roman" w:ascii="Times New Roman" w:hAnsi="Times New Roman"/>
                  <w:bCs/>
                  <w:sz w:val="24"/>
                  <w:szCs w:val="24"/>
                </w:rPr>
                <w:t>законом</w:t>
              </w:r>
            </w:hyperlink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 оценке по указанному критерию оценки, (БЦ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  <w:vertAlign w:val="subscript"/>
              </w:rPr>
              <w:t>i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) определяется по одной из следующих формул: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Par2"/>
            <w:bookmarkEnd w:id="0"/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а) за исключением случаев, предусмотренных </w:t>
            </w:r>
            <w:hyperlink w:anchor="Par10">
              <w:r>
                <w:rPr>
                  <w:rFonts w:cs="Times New Roman" w:ascii="Times New Roman" w:hAnsi="Times New Roman"/>
                  <w:bCs/>
                  <w:sz w:val="24"/>
                  <w:szCs w:val="24"/>
                </w:rPr>
                <w:t>подпунктом "б"</w:t>
              </w:r>
            </w:hyperlink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 пункта 9 Положения и </w:t>
            </w:r>
            <w:hyperlink r:id="rId5">
              <w:r>
                <w:rPr>
                  <w:rFonts w:cs="Times New Roman" w:ascii="Times New Roman" w:hAnsi="Times New Roman"/>
                  <w:bCs/>
                  <w:sz w:val="24"/>
                  <w:szCs w:val="24"/>
                </w:rPr>
                <w:t>пунктом 10</w:t>
              </w:r>
            </w:hyperlink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 Положения, - по формуле: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/>
              <w:drawing>
                <wp:inline distT="0" distB="0" distL="0" distR="0">
                  <wp:extent cx="2011680" cy="580390"/>
                  <wp:effectExtent l="0" t="0" r="0" b="0"/>
                  <wp:docPr id="1" name="Рисунок 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1680" cy="580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где: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Ц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  <w:vertAlign w:val="subscript"/>
              </w:rPr>
              <w:t>i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 - предложение участника закупки о цене контракта, заявка (часть заявки) которого подлежит в соответствии с Федеральным </w:t>
            </w:r>
            <w:hyperlink r:id="rId7">
              <w:r>
                <w:rPr>
                  <w:rFonts w:cs="Times New Roman" w:ascii="Times New Roman" w:hAnsi="Times New Roman"/>
                  <w:bCs/>
                  <w:sz w:val="24"/>
                  <w:szCs w:val="24"/>
                </w:rPr>
                <w:t>законом</w:t>
              </w:r>
            </w:hyperlink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 оценке по критерию оценки "цена контракта, сумма цен единиц товара, работы, услуги" (далее - ценовое предложение);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Ц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  <w:vertAlign w:val="subscript"/>
              </w:rPr>
              <w:t>л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 - наилучшее ценовое предложение из числа предложенных в соответствии с Федеральным </w:t>
            </w:r>
            <w:hyperlink r:id="rId8">
              <w:r>
                <w:rPr>
                  <w:rFonts w:cs="Times New Roman" w:ascii="Times New Roman" w:hAnsi="Times New Roman"/>
                  <w:bCs/>
                  <w:sz w:val="24"/>
                  <w:szCs w:val="24"/>
                </w:rPr>
                <w:t>законом</w:t>
              </w:r>
            </w:hyperlink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 участниками закупки, заявки (части заявки) которых подлежат оценке по критерию оценки "цена контракта, сумма цен единиц товара, работы, услуги";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1" w:name="Par10"/>
            <w:bookmarkEnd w:id="1"/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б) в случае если по результатам применения формулы, предусмотренной </w:t>
            </w:r>
            <w:hyperlink w:anchor="Par2">
              <w:r>
                <w:rPr>
                  <w:rFonts w:cs="Times New Roman" w:ascii="Times New Roman" w:hAnsi="Times New Roman"/>
                  <w:bCs/>
                  <w:sz w:val="24"/>
                  <w:szCs w:val="24"/>
                </w:rPr>
                <w:t>подпунктом "а"</w:t>
              </w:r>
            </w:hyperlink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, при оценке хотя бы одной заявки получено значение, являющееся отрицательным числом, значение количества баллов по критерию оценки "цена контракта, сумма цен единиц товара, работы, услуги" всем заявкам, подлежащим в соответствии с Федеральным </w:t>
            </w:r>
            <w:hyperlink r:id="rId9">
              <w:r>
                <w:rPr>
                  <w:rFonts w:cs="Times New Roman" w:ascii="Times New Roman" w:hAnsi="Times New Roman"/>
                  <w:bCs/>
                  <w:sz w:val="24"/>
                  <w:szCs w:val="24"/>
                </w:rPr>
                <w:t>законом</w:t>
              </w:r>
            </w:hyperlink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 оценке по указанному критерию оценки (БЦ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  <w:vertAlign w:val="subscript"/>
              </w:rPr>
              <w:t>i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), определяется по формуле: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/>
              <w:drawing>
                <wp:inline distT="0" distB="0" distL="0" distR="0">
                  <wp:extent cx="2472690" cy="516890"/>
                  <wp:effectExtent l="0" t="0" r="0" b="0"/>
                  <wp:docPr id="2" name="Рисунок 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2690" cy="516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где Ц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  <w:vertAlign w:val="subscript"/>
              </w:rPr>
              <w:t>нач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 - начальная (максимальная) цена контракта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2. Если при проведении процедуры подачи предложений о цене контракта подано ценовое предложение, предусматривающее снижение цены контракта ниже нуля, значение количества баллов по критерию оценки "цена контракта"  определяется в следующем порядке: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а) для заявки участника закупки, ценовое предложение которого не предусматривает снижение цены контракта ниже нуля, значение количества баллов по указанному критерию оценки  определяется по формуле: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shd w:fill="FFFF00" w:val="clear"/>
              </w:rPr>
            </w:pPr>
            <w:r>
              <w:rPr/>
              <w:drawing>
                <wp:inline distT="0" distB="0" distL="0" distR="0">
                  <wp:extent cx="2533650" cy="581025"/>
                  <wp:effectExtent l="0" t="0" r="0" b="0"/>
                  <wp:docPr id="3" name="Рисунок 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0" cy="581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б) для заявки участника закупки, ценовое предложение которого предусматривает снижение цены контракта ниже нуля, значение количества баллов по указанному критерию оценки  определяется по формуле: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drawing>
                <wp:inline distT="0" distB="0" distL="0" distR="0">
                  <wp:extent cx="2228850" cy="581025"/>
                  <wp:effectExtent l="0" t="0" r="0" b="0"/>
                  <wp:docPr id="4" name="Рисунок 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0" cy="581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 Оценка заявок по критерию оценки "цена контракта" осуществляется в соответствии со следующими требованиями: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а) заявкам, содержащим наилучшее ценовое предложение, а также предложение, равное такому наилучшему ценовому предложению, присваивается 100 баллов;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б) значение </w:t>
            </w:r>
            <w:r>
              <w:rPr/>
              <w:drawing>
                <wp:inline distT="0" distB="0" distL="0" distR="0">
                  <wp:extent cx="161925" cy="190500"/>
                  <wp:effectExtent l="0" t="0" r="0" b="0"/>
                  <wp:docPr id="5" name="Рисунок 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при применении формулы, предусмотренной подпунктом "а" пункта 2, и значения </w:t>
            </w:r>
            <w:r>
              <w:rPr/>
              <w:drawing>
                <wp:inline distT="0" distB="0" distL="0" distR="0">
                  <wp:extent cx="161925" cy="190500"/>
                  <wp:effectExtent l="0" t="0" r="0" b="0"/>
                  <wp:docPr id="6" name="Рисунок 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и </w:t>
            </w:r>
            <w:r>
              <w:rPr/>
              <w:drawing>
                <wp:inline distT="0" distB="0" distL="0" distR="0">
                  <wp:extent cx="142875" cy="171450"/>
                  <wp:effectExtent l="0" t="0" r="0" b="0"/>
                  <wp:docPr id="7" name="Рисунок 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7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при применении формулы, предусмотренной подпунктом "б" пункта 2, указываются без знака "минус".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9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Квалификация участников закупки, в том числе наличие у них опыта выполнения работы, связанного с предметом контракта</w:t>
            </w:r>
          </w:p>
        </w:tc>
        <w:tc>
          <w:tcPr>
            <w:tcW w:w="1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наличие у участников закупки опыта выполнения работы, связанного с предметом контракта</w:t>
            </w: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характеристика квалификации участников закупки: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Общая цена исполненных участником закупки договоров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Лучшим является наибольшее значение характеристики объекта закупки:</w:t>
            </w:r>
            <w:r>
              <w:rPr/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значение количества баллов по детализирующему показателю рассчитывается по формуле: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drawing>
                <wp:inline distT="0" distB="0" distL="0" distR="0">
                  <wp:extent cx="2273935" cy="516890"/>
                  <wp:effectExtent l="0" t="0" r="0" b="0"/>
                  <wp:docPr id="8" name="Рисунок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3935" cy="516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где: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Хmax - максимальное значение характеристики объекта закупки, содержащееся в заявках (частях заявок), подлежащих в соответствии с Федеральным законом оценке по критерию оценки "характеристики объекта закупки";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Хi - значение характеристики объекта закупки, содержащееся в предложении участника закупки, заявка (часть заявки) которого подлежит в соответствии с Федеральным законом оценке по критерию оценки "характеристики объекта закупки";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Хmin - минимальное значение характеристики объекта закупки, содержащееся в заявках (частях заявок), подлежащих в соответствии с Федеральным законом оценке по критерию оценки "характеристики объекта закупки"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характеристика квалификации участников закупки: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Наибольшая цена одного из исполненных участником закупки договоров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Лучшим является наибольшее значение характеристики объекта закупки:</w:t>
            </w:r>
            <w:r>
              <w:rPr/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значение количества баллов по детализирующему показателю рассчитывается по формуле: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drawing>
                <wp:inline distT="0" distB="0" distL="0" distR="0">
                  <wp:extent cx="2273935" cy="516890"/>
                  <wp:effectExtent l="0" t="0" r="0" b="0"/>
                  <wp:docPr id="9" name="Рисунок 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3935" cy="516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где: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Хmax - максимальное значение характеристики объекта закупки, содержащееся в заявках (частях заявок), подлежащих в соответствии с Федеральным законом оценке по критерию оценки "характеристики объекта закупки";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Хi - значение характеристики объекта закупки, содержащееся в предложении участника закупки, заявка (часть заявки) которого подлежит в соответствии с Федеральным законом оценке по критерию оценки "характеристики объекта закупки";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Хmin - минимальное значение характеристики объекта закупки, содержащееся в заявках (частях заявок), подлежащих в соответствии с Федеральным законом оценке по критерию оценки "характеристики объекта закупки";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14034" w:type="dxa"/>
        <w:jc w:val="left"/>
        <w:tblInd w:w="12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noVBand="0" w:val="0000" w:noHBand="0" w:lastColumn="0" w:firstColumn="0" w:lastRow="0" w:firstRow="0"/>
      </w:tblPr>
      <w:tblGrid>
        <w:gridCol w:w="14034"/>
      </w:tblGrid>
      <w:tr>
        <w:trPr/>
        <w:tc>
          <w:tcPr>
            <w:tcW w:w="14034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III. Отдельные положения о применении отдельных критериев оценки, показателей оценки и показателей оценки, детализирующих показатели оценки, предусмотренных </w:t>
            </w:r>
            <w:hyperlink w:anchor="Par48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</w:rPr>
                <w:t>разделом II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настоящего документа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14596" w:type="dxa"/>
        <w:jc w:val="left"/>
        <w:tblInd w:w="1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noVBand="0" w:val="0000" w:noHBand="0" w:lastColumn="0" w:firstColumn="0" w:lastRow="0" w:firstRow="0"/>
      </w:tblPr>
      <w:tblGrid>
        <w:gridCol w:w="636"/>
        <w:gridCol w:w="4764"/>
        <w:gridCol w:w="9196"/>
      </w:tblGrid>
      <w:tr>
        <w:trPr/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Наименование критерия оценки, показателя оценки, показателя оценки, детализирующего показатель оценки, при применении которого устанавливается положение, предусмотренное </w:t>
            </w:r>
            <w:hyperlink w:anchor="Par174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</w:rPr>
                <w:t>графой 3</w:t>
              </w:r>
            </w:hyperlink>
          </w:p>
        </w:tc>
        <w:tc>
          <w:tcPr>
            <w:tcW w:w="9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Положение о применении критерия оценки, показателя оценки, показателя оценки, детализирующего показатель оценки</w:t>
            </w:r>
          </w:p>
        </w:tc>
      </w:tr>
      <w:tr>
        <w:trPr/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r174"/>
            <w:bookmarkEnd w:id="2"/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b/>
                <w:bCs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Квалификация участников закупки, в том числе наличие у них опыта выполнения работы, связанного с предметом контракта:</w:t>
            </w:r>
            <w:r>
              <w:rPr/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наличие у участников закупки опыта выполнения работы, связанного с предметом контракта: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/>
                <w:sz w:val="24"/>
                <w:szCs w:val="24"/>
                <w:lang w:eastAsia="ru-RU"/>
              </w:rPr>
              <w:t>Общая цена исполненных участником закупки договоров</w:t>
            </w:r>
          </w:p>
        </w:tc>
        <w:tc>
          <w:tcPr>
            <w:tcW w:w="9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 xml:space="preserve">К оценке принимаются документы: исполненные договора (договоры), предусматривающие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shd w:fill="auto" w:val="clear"/>
              </w:rPr>
              <w:t>выполнение работ по ремонту, содержанию, капитальному ремонту, строительству, реконструкции автомобильной дороги</w:t>
            </w: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, подтверждающие наличие у участника закупки опыта поставки товара, выполнения работы, оказания услуги, связанного с предметом контракта, в том числе исполненный договор (договоры), акт (акты) приемки поставленного товара, выполненных работ, оказанных услуг, составленные при исполнении такого договора (договоров), в том числе если к ним не приложена проектная документация (если проектная документация является приложением к таким документам) 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shd w:fill="auto" w:val="clear"/>
              </w:rPr>
              <w:t>Последний акт, составленный при исполнении договора, подтверждающий наличие у участника закупки опыта выполнения работы, связанного с предметом контракта, должен быть подписан не ранее чем за 5 лет до даты окончания срока подачи заявок.</w:t>
            </w:r>
          </w:p>
          <w:p>
            <w:pPr>
              <w:pStyle w:val="1"/>
              <w:widowControl w:val="false"/>
              <w:shd w:val="clear" w:color="auto" w:fill="FFFFFF"/>
              <w:spacing w:beforeAutospacing="0" w:before="161" w:afterAutospacing="0" w:after="161"/>
              <w:jc w:val="both"/>
              <w:rPr/>
            </w:pPr>
            <w:r>
              <w:rPr>
                <w:sz w:val="24"/>
                <w:szCs w:val="24"/>
                <w:shd w:fill="auto" w:val="clear"/>
              </w:rPr>
              <w:t>К оценке принимаются исполненные участником закупки с учетом правопреемства (в случае наличия в заявке подтверждающего документа) исключительно контракты, заключенные и исполненные в соответствии с Федеральным </w:t>
            </w:r>
            <w:hyperlink r:id="rId18">
              <w:r>
                <w:rPr>
                  <w:sz w:val="24"/>
                  <w:szCs w:val="24"/>
                  <w:shd w:fill="auto" w:val="clear"/>
                </w:rPr>
                <w:t>законом</w:t>
              </w:r>
            </w:hyperlink>
            <w:r>
              <w:rPr>
                <w:sz w:val="24"/>
                <w:szCs w:val="24"/>
                <w:shd w:fill="auto" w:val="clear"/>
              </w:rPr>
              <w:t xml:space="preserve">  "О контрактной системе в сфере закупок товаров, работ, услуг для обеспечения государственных и муниципальных нужд", и договоры, заключенные и исполненные в соответствии с Федеральным </w:t>
            </w:r>
            <w:hyperlink r:id="rId19">
              <w:r>
                <w:rPr>
                  <w:sz w:val="24"/>
                  <w:szCs w:val="24"/>
                  <w:shd w:fill="auto" w:val="clear"/>
                </w:rPr>
                <w:t>законом</w:t>
              </w:r>
            </w:hyperlink>
            <w:r>
              <w:rPr>
                <w:sz w:val="24"/>
                <w:szCs w:val="24"/>
                <w:shd w:fill="auto" w:val="clear"/>
              </w:rPr>
              <w:t> "О закупках товаров, работ, услуг отдельными видами юридических лиц". Все документы должны быть представлены в полном объеме, со всеми приложениями за исключением случаев, если приложением является проектная документация. Документы направляются в форме электронных документов или в форме электронных образов бумажных документов.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shd w:fill="auto" w:val="clear"/>
              </w:rPr>
              <w:t>Если документы и информация о таких документах содержатся в открытых и общедоступных государственных реестрах, размещенных в информационно-телекоммуникационной сети "Интернет", в том числе ведение которых осуществляется в единой информационной системе в сфере закупок с размещением указанных документов на официальном сайте единой информационной системы в сфере закупок в информационно-телекоммуникационной сети "Интернет", вместо направления таких документов участник закупки вправе направить номер реестровой записи из соответствующего реестра.</w:t>
            </w:r>
          </w:p>
        </w:tc>
      </w:tr>
      <w:tr>
        <w:trPr/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Квалификация участников закупки, в том числе наличие у них опыта выполнения работы, связанного с предметом контракта:</w:t>
            </w:r>
            <w:r>
              <w:rPr/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наличие у участников закупки опыта выполнения работы, связанного с предметом контракта: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Наибольшая цена одного из исполненных участником закупки договоров</w:t>
            </w:r>
          </w:p>
        </w:tc>
        <w:tc>
          <w:tcPr>
            <w:tcW w:w="9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b w:val="false"/>
                <w:sz w:val="24"/>
                <w:szCs w:val="24"/>
                <w:shd w:fill="auto" w:val="clear"/>
              </w:rPr>
              <w:t xml:space="preserve">К оценке принимаются документы: исполненные договора (договоры), предусматривающие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shd w:fill="auto" w:val="clear"/>
              </w:rPr>
              <w:t>выполнение работ по ремонту, содержанию, капитальному ремонту, строительству, реконструкции автомобильной дороги</w:t>
            </w:r>
            <w:r>
              <w:rPr>
                <w:rFonts w:cs="Times New Roman" w:ascii="Times New Roman" w:hAnsi="Times New Roman"/>
                <w:b w:val="false"/>
                <w:sz w:val="24"/>
                <w:szCs w:val="24"/>
                <w:shd w:fill="auto" w:val="clear"/>
              </w:rPr>
              <w:t>, подтверждающие наличие у участника закупки опыта поставки товара, выполнения работы, оказания услуги, связанного с предметом контракта, в том числе исполненный договор (договоры), акт (акты) приемки поставленного товара, выполненных работ, оказанных услуг, составленные при исполнении такого договора (договоров), в том числе если к ним не приложена проектная документация (если проектная документация является приложением к таким документам) 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shd w:fill="auto" w:val="clear"/>
              </w:rPr>
              <w:t>Последний акт, составленный при исполнении договора, подтверждающий наличие у участника закупки опыта выполнения работы, связанного с предметом контракта, должен быть подписан не ранее чем за 5 лет до даты окончания срока подачи заявок.</w:t>
            </w:r>
          </w:p>
          <w:p>
            <w:pPr>
              <w:pStyle w:val="1"/>
              <w:widowControl w:val="false"/>
              <w:shd w:val="clear" w:color="auto" w:fill="FFFFFF"/>
              <w:spacing w:beforeAutospacing="0" w:before="161" w:afterAutospacing="0" w:after="161"/>
              <w:jc w:val="both"/>
              <w:rPr/>
            </w:pPr>
            <w:r>
              <w:rPr>
                <w:sz w:val="24"/>
                <w:szCs w:val="24"/>
                <w:shd w:fill="auto" w:val="clear"/>
              </w:rPr>
              <w:t>К оценке принимаются исполненные участником закупки с учетом правопреемства (в случае наличия в заявке подтверждающего документа) исключительно контракты, заключенные и исполненные в соответствии с Федеральным </w:t>
            </w:r>
            <w:hyperlink r:id="rId20">
              <w:r>
                <w:rPr>
                  <w:sz w:val="24"/>
                  <w:szCs w:val="24"/>
                  <w:shd w:fill="auto" w:val="clear"/>
                </w:rPr>
                <w:t>законом</w:t>
              </w:r>
            </w:hyperlink>
            <w:r>
              <w:rPr>
                <w:sz w:val="24"/>
                <w:szCs w:val="24"/>
                <w:shd w:fill="auto" w:val="clear"/>
              </w:rPr>
              <w:t xml:space="preserve">  "О контрактной системе в сфере закупок товаров, работ, услуг для обеспечения государственных и муниципальных нужд", и договоры, заключенные и исполненные в соответствии с Федеральным </w:t>
            </w:r>
            <w:hyperlink r:id="rId21">
              <w:r>
                <w:rPr>
                  <w:sz w:val="24"/>
                  <w:szCs w:val="24"/>
                  <w:shd w:fill="auto" w:val="clear"/>
                </w:rPr>
                <w:t>законом</w:t>
              </w:r>
            </w:hyperlink>
            <w:r>
              <w:rPr>
                <w:sz w:val="24"/>
                <w:szCs w:val="24"/>
                <w:shd w:fill="auto" w:val="clear"/>
              </w:rPr>
              <w:t> "О закупках товаров, работ, услуг отдельными видами юридических лиц". Все документы должны быть представлены в полном объеме, со всеми приложениями за исключением случаев, если приложением является проектная документация. Документы направляются в форме электронных документов или в форме электронных образов бумажных документов.</w:t>
            </w:r>
          </w:p>
          <w:p>
            <w:pPr>
              <w:pStyle w:val="1"/>
              <w:widowControl w:val="false"/>
              <w:shd w:val="clear" w:color="auto" w:fill="FFFFFF"/>
              <w:spacing w:beforeAutospacing="0" w:before="161" w:afterAutospacing="0" w:after="161"/>
              <w:jc w:val="both"/>
              <w:rPr>
                <w:highlight w:val="none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Е</w:t>
            </w:r>
            <w:r>
              <w:rPr>
                <w:rFonts w:cs="Times New Roman"/>
                <w:sz w:val="24"/>
                <w:szCs w:val="24"/>
                <w:shd w:fill="auto" w:val="clear"/>
              </w:rPr>
              <w:t>сли документы и информация о таких документах содержатся в открытых и общедоступных государственных реестрах, размещенных в информационно-телекоммуникационной сети "Интернет", в том числе ведение которых осуществляется в единой информационной системе в сфере закупок с размещением указанных документов на официальном сайте единой информационной системы в сфере закупок в информационно-телекоммуникационной сети "Интернет", вместо направления таких документов участник закупки вправе направить номер реестровой записи из соответствующего реестра.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left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left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left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left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left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left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left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left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left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left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left"/>
        <w:rPr/>
      </w:pPr>
      <w:r>
        <w:rPr/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Реестр исполненных контрактов и договоров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(РЕКОМЕНДУЕМАЯ ФОРМА)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15983" w:type="dxa"/>
        <w:jc w:val="left"/>
        <w:tblInd w:w="-4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a0" w:noHBand="0" w:lastColumn="0" w:firstColumn="1" w:lastRow="0" w:firstRow="1"/>
      </w:tblPr>
      <w:tblGrid>
        <w:gridCol w:w="498"/>
        <w:gridCol w:w="2791"/>
        <w:gridCol w:w="1417"/>
        <w:gridCol w:w="1986"/>
        <w:gridCol w:w="3968"/>
        <w:gridCol w:w="1849"/>
        <w:gridCol w:w="1570"/>
        <w:gridCol w:w="1902"/>
      </w:tblGrid>
      <w:tr>
        <w:trPr>
          <w:trHeight w:val="1057" w:hRule="atLeast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Calibri" w:cs="Times New Roman"/>
                <w:kern w:val="2"/>
              </w:rPr>
            </w:pPr>
            <w:r>
              <w:rPr>
                <w:rFonts w:eastAsia="Calibri" w:cs="Times New Roman" w:ascii="Times New Roman" w:hAnsi="Times New Roman"/>
                <w:kern w:val="2"/>
              </w:rPr>
              <w:t xml:space="preserve">№ </w:t>
            </w:r>
            <w:r>
              <w:rPr>
                <w:rFonts w:eastAsia="Calibri" w:cs="Times New Roman" w:ascii="Times New Roman" w:hAnsi="Times New Roman"/>
                <w:kern w:val="2"/>
              </w:rPr>
              <w:t>п/п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2"/>
              </w:rPr>
            </w:pPr>
            <w:r>
              <w:rPr>
                <w:rFonts w:eastAsia="Calibri" w:cs="Times New Roman" w:ascii="Times New Roman" w:hAnsi="Times New Roman"/>
                <w:kern w:val="2"/>
              </w:rPr>
              <w:t>Реестровый номер в единой информационной системе в сфере закупок (ЕИС) (</w:t>
            </w:r>
            <w:hyperlink r:id="rId22">
              <w:r>
                <w:rPr>
                  <w:rStyle w:val="-"/>
                  <w:rFonts w:eastAsia="Calibri" w:cs="Times New Roman" w:ascii="Times New Roman" w:hAnsi="Times New Roman"/>
                  <w:kern w:val="2"/>
                  <w:lang w:val="en-US"/>
                </w:rPr>
                <w:t>www</w:t>
              </w:r>
              <w:r>
                <w:rPr>
                  <w:rStyle w:val="-"/>
                  <w:rFonts w:eastAsia="Calibri" w:cs="Times New Roman" w:ascii="Times New Roman" w:hAnsi="Times New Roman"/>
                  <w:kern w:val="2"/>
                </w:rPr>
                <w:t>.</w:t>
              </w:r>
              <w:r>
                <w:rPr>
                  <w:rStyle w:val="-"/>
                  <w:rFonts w:eastAsia="Calibri" w:cs="Times New Roman" w:ascii="Times New Roman" w:hAnsi="Times New Roman"/>
                  <w:kern w:val="2"/>
                  <w:lang w:val="en-US"/>
                </w:rPr>
                <w:t>zakupki</w:t>
              </w:r>
              <w:r>
                <w:rPr>
                  <w:rStyle w:val="-"/>
                  <w:rFonts w:eastAsia="Calibri" w:cs="Times New Roman" w:ascii="Times New Roman" w:hAnsi="Times New Roman"/>
                  <w:kern w:val="2"/>
                </w:rPr>
                <w:t>.</w:t>
              </w:r>
              <w:r>
                <w:rPr>
                  <w:rStyle w:val="-"/>
                  <w:rFonts w:eastAsia="Calibri" w:cs="Times New Roman" w:ascii="Times New Roman" w:hAnsi="Times New Roman"/>
                  <w:kern w:val="2"/>
                  <w:lang w:val="en-US"/>
                </w:rPr>
                <w:t>gov</w:t>
              </w:r>
              <w:r>
                <w:rPr>
                  <w:rStyle w:val="-"/>
                  <w:rFonts w:eastAsia="Calibri" w:cs="Times New Roman" w:ascii="Times New Roman" w:hAnsi="Times New Roman"/>
                  <w:kern w:val="2"/>
                </w:rPr>
                <w:t>.</w:t>
              </w:r>
              <w:r>
                <w:rPr>
                  <w:rStyle w:val="-"/>
                  <w:rFonts w:eastAsia="Calibri" w:cs="Times New Roman" w:ascii="Times New Roman" w:hAnsi="Times New Roman"/>
                  <w:kern w:val="2"/>
                  <w:lang w:val="en-US"/>
                </w:rPr>
                <w:t>ru</w:t>
              </w:r>
            </w:hyperlink>
            <w:r>
              <w:rPr>
                <w:rFonts w:eastAsia="Calibri" w:cs="Times New Roman" w:ascii="Times New Roman" w:hAnsi="Times New Roman"/>
                <w:kern w:val="2"/>
              </w:rPr>
              <w:t xml:space="preserve">) / ссылка на закупку или контракт (договор) в ЕИС,  </w:t>
            </w:r>
            <w:r>
              <w:rPr>
                <w:rFonts w:eastAsia="Calibri" w:cs="Times New Roman" w:ascii="Times New Roman" w:hAnsi="Times New Roman"/>
                <w:kern w:val="2"/>
                <w:sz w:val="24"/>
                <w:szCs w:val="24"/>
                <w:shd w:fill="auto" w:val="clear"/>
              </w:rPr>
              <w:t>заключенные и исполненные в соответствии с Федеральным </w:t>
            </w:r>
            <w:hyperlink r:id="rId23">
              <w:r>
                <w:rPr>
                  <w:rFonts w:eastAsia="Calibri" w:cs="Times New Roman" w:ascii="Times New Roman" w:hAnsi="Times New Roman"/>
                  <w:kern w:val="2"/>
                  <w:sz w:val="24"/>
                  <w:szCs w:val="24"/>
                  <w:shd w:fill="auto" w:val="clear"/>
                </w:rPr>
                <w:t>законом</w:t>
              </w:r>
            </w:hyperlink>
            <w:r>
              <w:rPr>
                <w:rFonts w:eastAsia="Calibri" w:cs="Times New Roman" w:ascii="Times New Roman" w:hAnsi="Times New Roman"/>
                <w:kern w:val="2"/>
                <w:sz w:val="24"/>
                <w:szCs w:val="24"/>
                <w:shd w:fill="auto" w:val="clear"/>
              </w:rPr>
              <w:t xml:space="preserve">  "О контрактной системе в сфере закупок товаров, работ, услуг для обеспечения государственных и муниципальных нужд",  Федеральным </w:t>
            </w:r>
            <w:hyperlink r:id="rId24">
              <w:r>
                <w:rPr>
                  <w:rFonts w:eastAsia="Calibri" w:cs="Times New Roman" w:ascii="Times New Roman" w:hAnsi="Times New Roman"/>
                  <w:kern w:val="2"/>
                  <w:sz w:val="24"/>
                  <w:szCs w:val="24"/>
                  <w:shd w:fill="auto" w:val="clear"/>
                </w:rPr>
                <w:t>законом</w:t>
              </w:r>
            </w:hyperlink>
            <w:r>
              <w:rPr>
                <w:rFonts w:eastAsia="Calibri" w:cs="Times New Roman" w:ascii="Times New Roman" w:hAnsi="Times New Roman"/>
                <w:kern w:val="2"/>
                <w:sz w:val="24"/>
                <w:szCs w:val="24"/>
                <w:shd w:fill="auto" w:val="clear"/>
              </w:rPr>
              <w:t>  "О закупках товаров, работ, услуг отдельными видами юридических лиц»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2"/>
              </w:rPr>
            </w:pPr>
            <w:r>
              <w:rPr>
                <w:rFonts w:eastAsia="Calibri" w:cs="Times New Roman" w:ascii="Times New Roman" w:hAnsi="Times New Roman"/>
                <w:kern w:val="2"/>
              </w:rPr>
              <w:t>Номер и дата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2"/>
              </w:rPr>
            </w:pPr>
            <w:r>
              <w:rPr>
                <w:rFonts w:eastAsia="Calibri" w:cs="Times New Roman" w:ascii="Times New Roman" w:hAnsi="Times New Roman"/>
                <w:kern w:val="2"/>
              </w:rPr>
              <w:t>заключения контракта (договора)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2"/>
              </w:rPr>
            </w:pPr>
            <w:r>
              <w:rPr>
                <w:rFonts w:eastAsia="Calibri" w:cs="Times New Roman" w:ascii="Times New Roman" w:hAnsi="Times New Roman"/>
                <w:kern w:val="2"/>
              </w:rPr>
              <w:t>Наименование контрагента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2"/>
              </w:rPr>
            </w:pPr>
            <w:r>
              <w:rPr>
                <w:rFonts w:eastAsia="Calibri" w:cs="Times New Roman" w:ascii="Times New Roman" w:hAnsi="Times New Roman"/>
                <w:kern w:val="2"/>
              </w:rPr>
              <w:t>(заказчика)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2"/>
              </w:rPr>
            </w:pPr>
            <w:r>
              <w:rPr>
                <w:rFonts w:eastAsia="Calibri" w:cs="Times New Roman" w:ascii="Times New Roman" w:hAnsi="Times New Roman"/>
                <w:kern w:val="2"/>
              </w:rPr>
              <w:t>Наименование предмета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2"/>
              </w:rPr>
            </w:pPr>
            <w:r>
              <w:rPr>
                <w:rFonts w:eastAsia="Calibri" w:cs="Times New Roman" w:ascii="Times New Roman" w:hAnsi="Times New Roman"/>
                <w:kern w:val="2"/>
              </w:rPr>
              <w:t>контракта (договора)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2"/>
              </w:rPr>
            </w:pPr>
            <w:r>
              <w:rPr>
                <w:rFonts w:eastAsia="Calibri" w:cs="Times New Roman" w:ascii="Times New Roman" w:hAnsi="Times New Roman"/>
                <w:kern w:val="2"/>
              </w:rPr>
              <w:t>Цена исполненного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2"/>
              </w:rPr>
            </w:pPr>
            <w:r>
              <w:rPr>
                <w:rFonts w:eastAsia="Calibri" w:cs="Times New Roman" w:ascii="Times New Roman" w:hAnsi="Times New Roman"/>
                <w:kern w:val="2"/>
              </w:rPr>
              <w:t>контракта (договора)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2"/>
              </w:rPr>
            </w:pPr>
            <w:r>
              <w:rPr>
                <w:rFonts w:eastAsia="Calibri" w:cs="Times New Roman" w:ascii="Times New Roman" w:hAnsi="Times New Roman"/>
                <w:kern w:val="2"/>
              </w:rPr>
              <w:t>Сроки исполнения работ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2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auto"/>
                <w:kern w:val="2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2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auto"/>
                <w:kern w:val="2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2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auto"/>
                <w:kern w:val="2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2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2"/>
                <w:sz w:val="22"/>
                <w:szCs w:val="22"/>
                <w:lang w:val="ru-RU" w:eastAsia="en-US" w:bidi="ar-SA"/>
              </w:rPr>
              <w:t>Дата последнего акта, составленного при исполнении контракта (договора), подтверждающего наличие у участника закупки опыта выполнения работы, связанного с предметом контракта</w:t>
            </w:r>
          </w:p>
        </w:tc>
      </w:tr>
      <w:tr>
        <w:trPr>
          <w:trHeight w:val="243" w:hRule="atLeast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2"/>
              </w:rPr>
            </w:pPr>
            <w:r>
              <w:rPr>
                <w:rFonts w:eastAsia="Calibri" w:cs="Times New Roman" w:ascii="Times New Roman" w:hAnsi="Times New Roman"/>
                <w:kern w:val="2"/>
              </w:rPr>
              <w:t>1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2"/>
              </w:rPr>
            </w:pPr>
            <w:r>
              <w:rPr>
                <w:rFonts w:eastAsia="Calibri" w:cs="Times New Roman" w:ascii="Times New Roman" w:hAnsi="Times New Roman"/>
                <w:kern w:val="2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2"/>
              </w:rPr>
            </w:pPr>
            <w:r>
              <w:rPr>
                <w:rFonts w:eastAsia="Calibri" w:cs="Times New Roman" w:ascii="Times New Roman" w:hAnsi="Times New Roman"/>
                <w:kern w:val="2"/>
              </w:rPr>
              <w:t>3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2"/>
              </w:rPr>
            </w:pPr>
            <w:r>
              <w:rPr>
                <w:rFonts w:eastAsia="Calibri" w:cs="Times New Roman" w:ascii="Times New Roman" w:hAnsi="Times New Roman"/>
                <w:kern w:val="2"/>
              </w:rPr>
              <w:t>4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2"/>
              </w:rPr>
            </w:pPr>
            <w:r>
              <w:rPr>
                <w:rFonts w:eastAsia="Calibri" w:cs="Times New Roman" w:ascii="Times New Roman" w:hAnsi="Times New Roman"/>
                <w:kern w:val="2"/>
              </w:rPr>
              <w:t>5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2"/>
              </w:rPr>
            </w:pPr>
            <w:r>
              <w:rPr>
                <w:rFonts w:eastAsia="Calibri" w:cs="Times New Roman" w:ascii="Times New Roman" w:hAnsi="Times New Roman"/>
                <w:kern w:val="2"/>
              </w:rPr>
              <w:t>6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2"/>
              </w:rPr>
            </w:pPr>
            <w:r>
              <w:rPr>
                <w:rFonts w:eastAsia="Calibri" w:cs="Times New Roman" w:ascii="Times New Roman" w:hAnsi="Times New Roman"/>
                <w:kern w:val="2"/>
              </w:rPr>
              <w:t>7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2"/>
              </w:rPr>
            </w:pPr>
            <w:r>
              <w:rPr>
                <w:rFonts w:eastAsia="Calibri" w:cs="Times New Roman" w:ascii="Times New Roman" w:hAnsi="Times New Roman"/>
                <w:kern w:val="2"/>
              </w:rPr>
              <w:t>8</w:t>
            </w:r>
          </w:p>
        </w:tc>
      </w:tr>
      <w:tr>
        <w:trPr>
          <w:trHeight w:val="243" w:hRule="atLeast"/>
        </w:trPr>
        <w:tc>
          <w:tcPr>
            <w:tcW w:w="4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2"/>
              </w:rPr>
            </w:pPr>
            <w:r>
              <w:rPr>
                <w:rFonts w:eastAsia="Calibri" w:cs="Times New Roman" w:ascii="Times New Roman" w:hAnsi="Times New Roman"/>
                <w:kern w:val="2"/>
              </w:rPr>
            </w:r>
          </w:p>
        </w:tc>
        <w:tc>
          <w:tcPr>
            <w:tcW w:w="2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2"/>
              </w:rPr>
            </w:pPr>
            <w:r>
              <w:rPr>
                <w:rFonts w:eastAsia="Calibri" w:cs="Times New Roman" w:ascii="Times New Roman" w:hAnsi="Times New Roman"/>
                <w:kern w:val="2"/>
              </w:rPr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2"/>
              </w:rPr>
            </w:pPr>
            <w:r>
              <w:rPr>
                <w:rFonts w:eastAsia="Calibri" w:cs="Times New Roman" w:ascii="Times New Roman" w:hAnsi="Times New Roman"/>
                <w:kern w:val="2"/>
              </w:rPr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2"/>
              </w:rPr>
            </w:pPr>
            <w:r>
              <w:rPr>
                <w:rFonts w:eastAsia="Calibri" w:cs="Times New Roman" w:ascii="Times New Roman" w:hAnsi="Times New Roman"/>
                <w:kern w:val="2"/>
              </w:rPr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2"/>
              </w:rPr>
            </w:pPr>
            <w:r>
              <w:rPr>
                <w:rFonts w:eastAsia="Calibri" w:cs="Times New Roman" w:ascii="Times New Roman" w:hAnsi="Times New Roman"/>
                <w:kern w:val="2"/>
              </w:rPr>
            </w:r>
          </w:p>
        </w:tc>
        <w:tc>
          <w:tcPr>
            <w:tcW w:w="1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2"/>
              </w:rPr>
            </w:pPr>
            <w:r>
              <w:rPr>
                <w:rFonts w:eastAsia="Calibri" w:cs="Times New Roman" w:ascii="Times New Roman" w:hAnsi="Times New Roman"/>
                <w:kern w:val="2"/>
              </w:rPr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2"/>
              </w:rPr>
            </w:pPr>
            <w:r>
              <w:rPr>
                <w:rFonts w:eastAsia="Calibri" w:cs="Times New Roman" w:ascii="Times New Roman" w:hAnsi="Times New Roman"/>
                <w:kern w:val="2"/>
              </w:rPr>
            </w:r>
          </w:p>
        </w:tc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2"/>
              </w:rPr>
            </w:pPr>
            <w:r>
              <w:rPr>
                <w:rFonts w:eastAsia="Calibri" w:cs="Times New Roman" w:ascii="Times New Roman" w:hAnsi="Times New Roman"/>
                <w:kern w:val="2"/>
              </w:rPr>
            </w:r>
          </w:p>
        </w:tc>
      </w:tr>
      <w:tr>
        <w:trPr>
          <w:trHeight w:val="243" w:hRule="atLeast"/>
        </w:trPr>
        <w:tc>
          <w:tcPr>
            <w:tcW w:w="4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2"/>
              </w:rPr>
            </w:pPr>
            <w:r>
              <w:rPr>
                <w:rFonts w:eastAsia="Calibri" w:cs="Times New Roman" w:ascii="Times New Roman" w:hAnsi="Times New Roman"/>
                <w:kern w:val="2"/>
              </w:rPr>
            </w:r>
          </w:p>
        </w:tc>
        <w:tc>
          <w:tcPr>
            <w:tcW w:w="2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2"/>
              </w:rPr>
            </w:pPr>
            <w:r>
              <w:rPr>
                <w:rFonts w:eastAsia="Calibri" w:cs="Times New Roman" w:ascii="Times New Roman" w:hAnsi="Times New Roman"/>
                <w:kern w:val="2"/>
              </w:rPr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2"/>
              </w:rPr>
            </w:pPr>
            <w:r>
              <w:rPr>
                <w:rFonts w:eastAsia="Calibri" w:cs="Times New Roman" w:ascii="Times New Roman" w:hAnsi="Times New Roman"/>
                <w:kern w:val="2"/>
              </w:rPr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2"/>
              </w:rPr>
            </w:pPr>
            <w:r>
              <w:rPr>
                <w:rFonts w:eastAsia="Calibri" w:cs="Times New Roman" w:ascii="Times New Roman" w:hAnsi="Times New Roman"/>
                <w:kern w:val="2"/>
              </w:rPr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2"/>
              </w:rPr>
            </w:pPr>
            <w:r>
              <w:rPr>
                <w:rFonts w:eastAsia="Calibri" w:cs="Times New Roman" w:ascii="Times New Roman" w:hAnsi="Times New Roman"/>
                <w:kern w:val="2"/>
              </w:rPr>
            </w:r>
          </w:p>
        </w:tc>
        <w:tc>
          <w:tcPr>
            <w:tcW w:w="1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2"/>
              </w:rPr>
            </w:pPr>
            <w:r>
              <w:rPr>
                <w:rFonts w:eastAsia="Calibri" w:cs="Times New Roman" w:ascii="Times New Roman" w:hAnsi="Times New Roman"/>
                <w:kern w:val="2"/>
              </w:rPr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2"/>
              </w:rPr>
            </w:pPr>
            <w:r>
              <w:rPr>
                <w:rFonts w:eastAsia="Calibri" w:cs="Times New Roman" w:ascii="Times New Roman" w:hAnsi="Times New Roman"/>
                <w:kern w:val="2"/>
              </w:rPr>
            </w:r>
          </w:p>
        </w:tc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2"/>
              </w:rPr>
            </w:pPr>
            <w:r>
              <w:rPr>
                <w:rFonts w:eastAsia="Calibri" w:cs="Times New Roman" w:ascii="Times New Roman" w:hAnsi="Times New Roman"/>
                <w:kern w:val="2"/>
              </w:rPr>
            </w:r>
          </w:p>
        </w:tc>
      </w:tr>
    </w:tbl>
    <w:p>
      <w:pPr>
        <w:pStyle w:val="Normal"/>
        <w:tabs>
          <w:tab w:val="clear" w:pos="708"/>
          <w:tab w:val="left" w:pos="993" w:leader="none"/>
        </w:tabs>
        <w:spacing w:before="0" w:after="160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</w:r>
      <w:bookmarkStart w:id="3" w:name="Par181_Копия_1"/>
      <w:bookmarkStart w:id="4" w:name="Par181_Копия_1"/>
      <w:bookmarkEnd w:id="4"/>
    </w:p>
    <w:p>
      <w:pPr>
        <w:pStyle w:val="Normal"/>
        <w:widowControl/>
        <w:suppressAutoHyphens w:val="true"/>
        <w:bidi w:val="0"/>
        <w:spacing w:lineRule="auto" w:line="259" w:before="0" w:after="160"/>
        <w:jc w:val="left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left"/>
        <w:rPr/>
      </w:pPr>
      <w:r>
        <w:rPr/>
      </w:r>
      <w:bookmarkStart w:id="5" w:name="Par181"/>
      <w:bookmarkStart w:id="6" w:name="Par181"/>
      <w:bookmarkEnd w:id="6"/>
    </w:p>
    <w:sectPr>
      <w:type w:val="nextPage"/>
      <w:pgSz w:w="16838" w:h="11906"/>
      <w:pgMar w:left="1134" w:right="340" w:gutter="0" w:header="0" w:top="1418" w:footer="0" w:bottom="850"/>
      <w:pgNumType w:fmt="decimal"/>
      <w:formProt w:val="false"/>
      <w:textDirection w:val="lrTb"/>
      <w:docGrid w:type="default" w:linePitch="10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Tahoma">
    <w:charset w:val="01"/>
    <w:family w:val="roman"/>
    <w:pitch w:val="default"/>
  </w:font>
  <w:font w:name="TimesET">
    <w:charset w:val="01"/>
    <w:family w:val="roman"/>
    <w:pitch w:val="default"/>
  </w:font>
  <w:font w:name="PT Astra Serif">
    <w:charset w:val="01"/>
    <w:family w:val="roman"/>
    <w:pitch w:val="default"/>
  </w:font>
  <w:font w:name="Arial">
    <w:charset w:val="01"/>
    <w:family w:val="roman"/>
    <w:pitch w:val="default"/>
  </w:font>
  <w:font w:name="Verdana">
    <w:charset w:val="01"/>
    <w:family w:val="roman"/>
    <w:pitch w:val="default"/>
  </w:font>
  <w:font w:name="Courier New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2"/>
    <w:uiPriority w:val="9"/>
    <w:qFormat/>
    <w:rsid w:val="004c72eb"/>
    <w:pPr>
      <w:suppressAutoHyphens w:val="false"/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Гиперссылка1"/>
    <w:basedOn w:val="DefaultParagraphFont"/>
    <w:uiPriority w:val="99"/>
    <w:unhideWhenUsed/>
    <w:qFormat/>
    <w:rsid w:val="00867141"/>
    <w:rPr>
      <w:color w:val="0563C1" w:themeColor="hyperlink"/>
      <w:u w:val="single"/>
    </w:rPr>
  </w:style>
  <w:style w:type="character" w:styleId="-">
    <w:name w:val="Hyperlink"/>
    <w:rPr>
      <w:color w:val="000080"/>
      <w:u w:val="single"/>
    </w:rPr>
  </w:style>
  <w:style w:type="character" w:styleId="12" w:customStyle="1">
    <w:name w:val="Заголовок 1 Знак"/>
    <w:basedOn w:val="DefaultParagraphFont"/>
    <w:uiPriority w:val="9"/>
    <w:qFormat/>
    <w:rsid w:val="004c72eb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Style13">
    <w:name w:val="FollowedHyperlink"/>
    <w:rPr>
      <w:color w:val="800000"/>
      <w:u w:val="single"/>
    </w:rPr>
  </w:style>
  <w:style w:type="character" w:styleId="Style14">
    <w:name w:val="Неразрешенное упоминание"/>
    <w:qFormat/>
    <w:rPr>
      <w:color w:val="605E5C"/>
      <w:shd w:fill="E1DFDD" w:val="clear"/>
    </w:rPr>
  </w:style>
  <w:style w:type="character" w:styleId="Style15">
    <w:name w:val="Тема примечания Знак"/>
    <w:qFormat/>
    <w:rPr>
      <w:b/>
      <w:bCs/>
    </w:rPr>
  </w:style>
  <w:style w:type="character" w:styleId="Style16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7">
    <w:name w:val="Знак примечания"/>
    <w:qFormat/>
    <w:rPr>
      <w:sz w:val="16"/>
      <w:szCs w:val="16"/>
    </w:rPr>
  </w:style>
  <w:style w:type="character" w:styleId="Ff0">
    <w:name w:val="ff0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2">
    <w:name w:val="Заголовок 2 Знак"/>
    <w:qFormat/>
    <w:rPr>
      <w:rFonts w:ascii="Cambria" w:hAnsi="Cambria" w:cs="Cambria"/>
      <w:b/>
      <w:bCs/>
      <w:i/>
      <w:iCs/>
      <w:sz w:val="28"/>
      <w:szCs w:val="28"/>
    </w:rPr>
  </w:style>
  <w:style w:type="character" w:styleId="Style18">
    <w:name w:val="Основной текст Знак"/>
    <w:qFormat/>
    <w:rPr>
      <w:sz w:val="24"/>
      <w:szCs w:val="24"/>
    </w:rPr>
  </w:style>
  <w:style w:type="character" w:styleId="Style19">
    <w:name w:val="Подзаголовок Знак"/>
    <w:qFormat/>
    <w:rPr>
      <w:rFonts w:ascii="Cambria" w:hAnsi="Cambria" w:eastAsia="Times New Roman" w:cs="Times New Roman"/>
      <w:sz w:val="24"/>
      <w:szCs w:val="24"/>
    </w:rPr>
  </w:style>
  <w:style w:type="character" w:styleId="Style20">
    <w:name w:val="Текст выноски Знак"/>
    <w:qFormat/>
    <w:rPr>
      <w:rFonts w:ascii="Tahoma" w:hAnsi="Tahoma" w:cs="Tahoma"/>
      <w:sz w:val="16"/>
      <w:szCs w:val="16"/>
    </w:rPr>
  </w:style>
  <w:style w:type="character" w:styleId="21">
    <w:name w:val="Основной текст (2)_"/>
    <w:qFormat/>
    <w:rPr>
      <w:sz w:val="28"/>
      <w:szCs w:val="28"/>
      <w:shd w:fill="FFFFFF" w:val="clear"/>
    </w:rPr>
  </w:style>
  <w:style w:type="character" w:styleId="Match">
    <w:name w:val="match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21">
    <w:name w:val="Знак Знак"/>
    <w:qFormat/>
    <w:rPr>
      <w:rFonts w:ascii="TimesET" w:hAnsi="TimesET" w:cs="TimesET"/>
      <w:lang w:val="ru-RU" w:bidi="ar-SA"/>
    </w:rPr>
  </w:style>
  <w:style w:type="character" w:styleId="Style22">
    <w:name w:val="Текст сноски Знак"/>
    <w:qFormat/>
    <w:rPr>
      <w:rFonts w:ascii="TimesET" w:hAnsi="TimesET" w:cs="TimesET"/>
      <w:lang w:val="ru-RU" w:bidi="ar-SA"/>
    </w:rPr>
  </w:style>
  <w:style w:type="character" w:styleId="Style23">
    <w:name w:val="Основной шрифт абзаца"/>
    <w:qFormat/>
    <w:rPr/>
  </w:style>
  <w:style w:type="character" w:styleId="WW8Num10z0">
    <w:name w:val="WW8Num10z0"/>
    <w:qFormat/>
    <w:rPr>
      <w:b w:val="false"/>
    </w:rPr>
  </w:style>
  <w:style w:type="character" w:styleId="WW8Num9z0">
    <w:name w:val="WW8Num9z0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>
      <w:b w:val="false"/>
    </w:rPr>
  </w:style>
  <w:style w:type="character" w:styleId="WW8Num7z0">
    <w:name w:val="WW8Num7z0"/>
    <w:qFormat/>
    <w:rPr>
      <w:b/>
    </w:rPr>
  </w:style>
  <w:style w:type="character" w:styleId="WW8Num6z0">
    <w:name w:val="WW8Num6z0"/>
    <w:qFormat/>
    <w:rPr>
      <w:lang w:val="ru-RU"/>
    </w:rPr>
  </w:style>
  <w:style w:type="character" w:styleId="WW8Num5z2">
    <w:name w:val="WW8Num5z2"/>
    <w:qFormat/>
    <w:rPr/>
  </w:style>
  <w:style w:type="character" w:styleId="WW8Num5z1">
    <w:name w:val="WW8Num5z1"/>
    <w:qFormat/>
    <w:rPr>
      <w:b w:val="false"/>
    </w:rPr>
  </w:style>
  <w:style w:type="character" w:styleId="WW8Num5z0">
    <w:name w:val="WW8Num5z0"/>
    <w:qFormat/>
    <w:rPr>
      <w:b/>
    </w:rPr>
  </w:style>
  <w:style w:type="character" w:styleId="WW8Num4z0">
    <w:name w:val="WW8Num4z0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>
      <w:b w:val="false"/>
      <w:sz w:val="28"/>
    </w:rPr>
  </w:style>
  <w:style w:type="character" w:styleId="WW8Num1z1">
    <w:name w:val="WW8Num1z1"/>
    <w:qFormat/>
    <w:rPr>
      <w:rFonts w:ascii="Times New Roman" w:hAnsi="Times New Roman" w:cs="Times New Roman"/>
      <w:b w:val="false"/>
      <w:sz w:val="24"/>
      <w:szCs w:val="24"/>
    </w:rPr>
  </w:style>
  <w:style w:type="character" w:styleId="WW8Num1z0">
    <w:name w:val="WW8Num1z0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>
      <w:b w:val="false"/>
    </w:rPr>
  </w:style>
  <w:style w:type="character" w:styleId="WW8Num2z0">
    <w:name w:val="WW8Num2z0"/>
    <w:qFormat/>
    <w:rPr>
      <w:b/>
    </w:rPr>
  </w:style>
  <w:style w:type="character" w:styleId="Style24">
    <w:name w:val="Нижний колонтитул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25">
    <w:name w:val="Верхний колонтитул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Style26">
    <w:name w:val="Заголовок"/>
    <w:basedOn w:val="Normal"/>
    <w:next w:val="Style2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27">
    <w:name w:val="Body Text"/>
    <w:basedOn w:val="Normal"/>
    <w:pPr>
      <w:spacing w:lineRule="auto" w:line="276" w:before="0" w:after="140"/>
    </w:pPr>
    <w:rPr/>
  </w:style>
  <w:style w:type="paragraph" w:styleId="Style28">
    <w:name w:val="List"/>
    <w:basedOn w:val="Style27"/>
    <w:pPr/>
    <w:rPr>
      <w:rFonts w:ascii="PT Astra Serif" w:hAnsi="PT Astra Serif" w:cs="Noto Sans Devanagari"/>
    </w:rPr>
  </w:style>
  <w:style w:type="paragraph" w:styleId="Style29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3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31">
    <w:name w:val="Title"/>
    <w:basedOn w:val="Normal"/>
    <w:next w:val="Style2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32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33" w:customStyle="1">
    <w:name w:val="Заголовок таблицы"/>
    <w:basedOn w:val="Style32"/>
    <w:qFormat/>
    <w:pPr>
      <w:jc w:val="center"/>
    </w:pPr>
    <w:rPr>
      <w:b/>
      <w:bCs/>
    </w:rPr>
  </w:style>
  <w:style w:type="paragraph" w:styleId="ConsPlusNormal" w:customStyle="1">
    <w:name w:val="ConsPlusNormal"/>
    <w:qFormat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" w:cs="Calibri" w:eastAsiaTheme="minorEastAsia"/>
      <w:color w:val="auto"/>
      <w:kern w:val="0"/>
      <w:sz w:val="22"/>
      <w:szCs w:val="22"/>
      <w:lang w:val="ru-RU" w:eastAsia="ru-RU" w:bidi="ar-SA"/>
    </w:rPr>
  </w:style>
  <w:style w:type="paragraph" w:styleId="Headertext">
    <w:name w:val="headertext"/>
    <w:basedOn w:val="Normal"/>
    <w:qFormat/>
    <w:pPr>
      <w:spacing w:before="280" w:after="280"/>
    </w:pPr>
    <w:rPr/>
  </w:style>
  <w:style w:type="paragraph" w:styleId="Style34">
    <w:name w:val="Тема примечан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b/>
      <w:bCs/>
      <w:color w:val="auto"/>
      <w:kern w:val="0"/>
      <w:sz w:val="20"/>
      <w:szCs w:val="20"/>
      <w:lang w:val="ru-RU" w:eastAsia="en-US" w:bidi="ar-SA"/>
    </w:rPr>
  </w:style>
  <w:style w:type="paragraph" w:styleId="Style35">
    <w:name w:val="Текст примечания"/>
    <w:basedOn w:val="Normal"/>
    <w:qFormat/>
    <w:pPr/>
    <w:rPr>
      <w:sz w:val="20"/>
      <w:szCs w:val="20"/>
    </w:rPr>
  </w:style>
  <w:style w:type="paragraph" w:styleId="Formattext">
    <w:name w:val="formattext"/>
    <w:basedOn w:val="Normal"/>
    <w:qFormat/>
    <w:pPr>
      <w:spacing w:before="280" w:after="280"/>
    </w:pPr>
    <w:rPr/>
  </w:style>
  <w:style w:type="paragraph" w:styleId="HEADERTEXT1">
    <w:name w:val=".HEADERTEXT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2B4279"/>
      <w:kern w:val="2"/>
      <w:sz w:val="20"/>
      <w:szCs w:val="20"/>
      <w:lang w:val="ru-RU" w:eastAsia="zh-CN" w:bidi="ar-SA"/>
    </w:rPr>
  </w:style>
  <w:style w:type="paragraph" w:styleId="S15">
    <w:name w:val="s_15"/>
    <w:basedOn w:val="Normal"/>
    <w:qFormat/>
    <w:pPr>
      <w:spacing w:before="280" w:after="280"/>
    </w:pPr>
    <w:rPr/>
  </w:style>
  <w:style w:type="paragraph" w:styleId="Style36">
    <w:name w:val="Знак Знак Знак Знак Знак Знак Знак"/>
    <w:basedOn w:val="Normal"/>
    <w:qFormat/>
    <w:pPr>
      <w:spacing w:lineRule="exact" w:line="240" w:before="0" w:after="160"/>
    </w:pPr>
    <w:rPr>
      <w:rFonts w:ascii="Verdana" w:hAnsi="Verdana" w:cs="Verdana"/>
      <w:sz w:val="20"/>
      <w:szCs w:val="20"/>
      <w:lang w:val="en-GB"/>
    </w:rPr>
  </w:style>
  <w:style w:type="paragraph" w:styleId="6">
    <w:name w:val="Знак Знак6 Знак Знак Знак Знак Знак Знак Знак"/>
    <w:basedOn w:val="Normal"/>
    <w:qFormat/>
    <w:pPr>
      <w:spacing w:lineRule="exact" w:line="240" w:before="0" w:after="160"/>
    </w:pPr>
    <w:rPr>
      <w:rFonts w:ascii="Verdana" w:hAnsi="Verdana" w:cs="Verdana"/>
      <w:sz w:val="20"/>
      <w:szCs w:val="20"/>
      <w:lang w:val="en-GB"/>
    </w:rPr>
  </w:style>
  <w:style w:type="paragraph" w:styleId="Style37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22">
    <w:name w:val="Основной текст (2)"/>
    <w:basedOn w:val="Normal"/>
    <w:qFormat/>
    <w:pPr>
      <w:widowControl w:val="false"/>
      <w:shd w:fill="FFFFFF"/>
      <w:spacing w:lineRule="exact" w:line="310"/>
      <w:ind w:hanging="340"/>
    </w:pPr>
    <w:rPr>
      <w:sz w:val="28"/>
      <w:szCs w:val="28"/>
    </w:rPr>
  </w:style>
  <w:style w:type="paragraph" w:styleId="Style38">
    <w:name w:val="Знак"/>
    <w:basedOn w:val="Normal"/>
    <w:qFormat/>
    <w:pPr>
      <w:spacing w:lineRule="exact" w:line="240" w:before="0" w:after="160"/>
    </w:pPr>
    <w:rPr>
      <w:rFonts w:ascii="Verdana" w:hAnsi="Verdana" w:cs="Verdana"/>
      <w:lang w:val="en-US"/>
    </w:rPr>
  </w:style>
  <w:style w:type="paragraph" w:styleId="221">
    <w:name w:val="Знак2 Знак Знак Знак2 Знак Знак Знак"/>
    <w:basedOn w:val="Normal"/>
    <w:qFormat/>
    <w:pPr>
      <w:tabs>
        <w:tab w:val="clear" w:pos="708"/>
        <w:tab w:val="left" w:pos="360" w:leader="none"/>
      </w:tabs>
      <w:spacing w:lineRule="exact" w:line="240" w:before="0" w:after="160"/>
    </w:pPr>
    <w:rPr>
      <w:rFonts w:ascii="Verdana" w:hAnsi="Verdana" w:cs="Verdana"/>
      <w:sz w:val="20"/>
      <w:szCs w:val="20"/>
      <w:lang w:val="en-US"/>
    </w:rPr>
  </w:style>
  <w:style w:type="paragraph" w:styleId="BodyText2">
    <w:name w:val="Body Text 2"/>
    <w:basedOn w:val="Normal"/>
    <w:qFormat/>
    <w:pPr>
      <w:ind w:firstLine="709"/>
      <w:jc w:val="both"/>
    </w:pPr>
    <w:rPr>
      <w:color w:val="000000"/>
      <w:sz w:val="28"/>
      <w:szCs w:val="20"/>
    </w:rPr>
  </w:style>
  <w:style w:type="paragraph" w:styleId="Style39">
    <w:name w:val="Знак Знак Знак"/>
    <w:basedOn w:val="Normal"/>
    <w:qFormat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13">
    <w:name w:val="Знак1 Знак Знак Знак Знак Знак Знак Знак Знак Знак Знак Знак Знак"/>
    <w:basedOn w:val="Normal"/>
    <w:qFormat/>
    <w:pPr>
      <w:tabs>
        <w:tab w:val="clear" w:pos="708"/>
        <w:tab w:val="left" w:pos="360" w:leader="none"/>
      </w:tabs>
      <w:spacing w:lineRule="exact" w:line="240" w:before="0" w:after="160"/>
    </w:pPr>
    <w:rPr>
      <w:rFonts w:ascii="Verdana" w:hAnsi="Verdana" w:cs="Verdana"/>
      <w:sz w:val="20"/>
      <w:szCs w:val="20"/>
      <w:lang w:val="en-US"/>
    </w:rPr>
  </w:style>
  <w:style w:type="paragraph" w:styleId="14">
    <w:name w:val="Знак1 Знак Знак Знак Знак Знак Знак Знак Знак Знак Знак Знак Знак Знак Знак"/>
    <w:basedOn w:val="Normal"/>
    <w:qFormat/>
    <w:pPr>
      <w:tabs>
        <w:tab w:val="clear" w:pos="708"/>
        <w:tab w:val="left" w:pos="360" w:leader="none"/>
      </w:tabs>
      <w:spacing w:lineRule="exact" w:line="240" w:before="0" w:after="160"/>
    </w:pPr>
    <w:rPr>
      <w:rFonts w:ascii="Verdana" w:hAnsi="Verdana" w:cs="Verdana"/>
      <w:sz w:val="20"/>
      <w:szCs w:val="20"/>
      <w:lang w:val="en-US"/>
    </w:rPr>
  </w:style>
  <w:style w:type="paragraph" w:styleId="Formattexttopleveltext">
    <w:name w:val="formattext topleveltext"/>
    <w:basedOn w:val="Normal"/>
    <w:qFormat/>
    <w:pPr>
      <w:spacing w:before="280" w:after="280"/>
    </w:pPr>
    <w:rPr/>
  </w:style>
  <w:style w:type="paragraph" w:styleId="TOPLEVELTEXT">
    <w:name w:val=".TOPLEVELTEXT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ru-RU" w:eastAsia="zh-CN" w:bidi="ar-SA"/>
    </w:rPr>
  </w:style>
  <w:style w:type="paragraph" w:styleId="MIDDLEPICT">
    <w:name w:val=".MIDDLEPICT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ru-RU" w:eastAsia="zh-CN" w:bidi="ar-SA"/>
    </w:rPr>
  </w:style>
  <w:style w:type="paragraph" w:styleId="222">
    <w:name w:val="Знак2 Знак Знак Знак2 Знак Знак Знак Знак Знак Знак"/>
    <w:basedOn w:val="Normal"/>
    <w:qFormat/>
    <w:pPr>
      <w:tabs>
        <w:tab w:val="clear" w:pos="708"/>
        <w:tab w:val="left" w:pos="360" w:leader="none"/>
      </w:tabs>
      <w:spacing w:lineRule="exact" w:line="240" w:before="0" w:after="160"/>
    </w:pPr>
    <w:rPr>
      <w:rFonts w:ascii="Verdana" w:hAnsi="Verdana" w:cs="Verdana"/>
      <w:sz w:val="20"/>
      <w:szCs w:val="20"/>
      <w:lang w:val="en-US"/>
    </w:rPr>
  </w:style>
  <w:style w:type="paragraph" w:styleId="FORMATTEXT1">
    <w:name w:val=".FORMATTEXT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ru-RU" w:eastAsia="zh-CN" w:bidi="ar-SA"/>
    </w:rPr>
  </w:style>
  <w:style w:type="paragraph" w:styleId="APPLE-INTERCHANGE-NEWLINE">
    <w:name w:val=".APPLE-INTERCHANGE-NEWLINE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ru-RU" w:eastAsia="zh-CN" w:bidi="ar-SA"/>
    </w:rPr>
  </w:style>
  <w:style w:type="paragraph" w:styleId="111">
    <w:name w:val="Знак1 Знак Знак Знак Знак Знак Знак1"/>
    <w:basedOn w:val="Normal"/>
    <w:qFormat/>
    <w:pPr>
      <w:tabs>
        <w:tab w:val="clear" w:pos="708"/>
        <w:tab w:val="left" w:pos="360" w:leader="none"/>
      </w:tabs>
      <w:spacing w:lineRule="exact" w:line="240" w:before="0" w:after="160"/>
    </w:pPr>
    <w:rPr>
      <w:rFonts w:ascii="Verdana" w:hAnsi="Verdana" w:cs="Verdana"/>
      <w:sz w:val="20"/>
      <w:szCs w:val="20"/>
      <w:lang w:val="en-US"/>
    </w:rPr>
  </w:style>
  <w:style w:type="paragraph" w:styleId="15">
    <w:name w:val="Знак1 Знак Знак Знак"/>
    <w:basedOn w:val="Normal"/>
    <w:qFormat/>
    <w:pPr>
      <w:tabs>
        <w:tab w:val="clear" w:pos="708"/>
        <w:tab w:val="left" w:pos="360" w:leader="none"/>
      </w:tabs>
      <w:spacing w:lineRule="exact" w:line="240" w:before="0" w:after="160"/>
    </w:pPr>
    <w:rPr>
      <w:rFonts w:ascii="Verdana" w:hAnsi="Verdana" w:cs="Verdana"/>
      <w:sz w:val="20"/>
      <w:szCs w:val="20"/>
      <w:lang w:val="en-US"/>
    </w:rPr>
  </w:style>
  <w:style w:type="paragraph" w:styleId="ConsNormal">
    <w:name w:val="ConsNormal"/>
    <w:qFormat/>
    <w:pPr>
      <w:widowControl w:val="false"/>
      <w:suppressAutoHyphens w:val="true"/>
      <w:bidi w:val="0"/>
      <w:spacing w:before="0" w:after="0"/>
      <w:ind w:right="19772" w:firstLine="720"/>
      <w:jc w:val="left"/>
    </w:pPr>
    <w:rPr>
      <w:rFonts w:ascii="Arial" w:hAnsi="Arial" w:eastAsia="Times New Roman" w:cs="Arial"/>
      <w:color w:val="auto"/>
      <w:kern w:val="2"/>
      <w:sz w:val="20"/>
      <w:szCs w:val="20"/>
      <w:lang w:val="ru-RU" w:eastAsia="zh-CN" w:bidi="ar-SA"/>
    </w:rPr>
  </w:style>
  <w:style w:type="paragraph" w:styleId="Style40">
    <w:name w:val="Обычный (веб)"/>
    <w:basedOn w:val="Normal"/>
    <w:qFormat/>
    <w:pPr>
      <w:spacing w:before="100" w:after="100"/>
    </w:pPr>
    <w:rPr>
      <w:szCs w:val="20"/>
    </w:rPr>
  </w:style>
  <w:style w:type="paragraph" w:styleId="Style41">
    <w:name w:val="Знак Знак Знак Знак Знак Знак Знак Знак Знак Знак"/>
    <w:basedOn w:val="Normal"/>
    <w:qFormat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Style42">
    <w:name w:val="Знак Знак Знак Знак"/>
    <w:basedOn w:val="Normal"/>
    <w:qFormat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3">
    <w:name w:val="Основной текст с отступом 3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2"/>
      <w:sz w:val="20"/>
      <w:szCs w:val="20"/>
      <w:lang w:val="ru-RU" w:eastAsia="zh-CN" w:bidi="ar-SA"/>
    </w:rPr>
  </w:style>
  <w:style w:type="paragraph" w:styleId="16">
    <w:name w:val="Знак1"/>
    <w:basedOn w:val="Normal"/>
    <w:qFormat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31">
    <w:name w:val="Основной текст 3"/>
    <w:basedOn w:val="Normal"/>
    <w:qFormat/>
    <w:pPr>
      <w:spacing w:before="0" w:after="120"/>
    </w:pPr>
    <w:rPr>
      <w:sz w:val="16"/>
      <w:szCs w:val="16"/>
      <w:lang w:val="en-US"/>
    </w:rPr>
  </w:style>
  <w:style w:type="paragraph" w:styleId="17">
    <w:name w:val="Знак1 Знак Знак Знак Знак Знак Знак Знак Знак Знак Знак Знак Знак Знак Знак Знак Знак Знак Знак Знак Знак Знак Знак Знак Знак"/>
    <w:basedOn w:val="Normal"/>
    <w:qFormat/>
    <w:pPr>
      <w:tabs>
        <w:tab w:val="clear" w:pos="708"/>
        <w:tab w:val="left" w:pos="360" w:leader="none"/>
      </w:tabs>
      <w:spacing w:lineRule="exact" w:line="240" w:before="0" w:after="160"/>
    </w:pPr>
    <w:rPr>
      <w:rFonts w:ascii="Verdana" w:hAnsi="Verdana" w:cs="Verdana"/>
      <w:sz w:val="20"/>
      <w:szCs w:val="20"/>
      <w:lang w:val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F4296EC147EABD51E62012DDD69731C400127C8AC4D37BDF1DD2EB74FC1F4BFBF67EC957D81DB4658105DC381F2BL9A" TargetMode="External"/><Relationship Id="rId3" Type="http://schemas.openxmlformats.org/officeDocument/2006/relationships/hyperlink" Target="consultantplus://offline/ref=F4296EC147EABD51E62012DDD69731C400127C8AC4D37BDF1DD2EB74FC1F4BFBF67EC957D81DB4658105DC381F2BL9A" TargetMode="External"/><Relationship Id="rId4" Type="http://schemas.openxmlformats.org/officeDocument/2006/relationships/hyperlink" Target="consultantplus://offline/ref=A22548B83C3012F2FF3DAE39C69B19CA8213EFD0B2DD7494102F7F1006D444D6AFA889E346B62A48D5133DD731h4cBX" TargetMode="External"/><Relationship Id="rId5" Type="http://schemas.openxmlformats.org/officeDocument/2006/relationships/hyperlink" Target="consultantplus://offline/ref=A22548B83C3012F2FF3DAE39C69B19CA8213EFDEB4DA7494102F7F1006D444D6BDA8D1EF44B2344CD2066B86771CE047D72D91694CF76AA3h5cAX" TargetMode="External"/><Relationship Id="rId6" Type="http://schemas.openxmlformats.org/officeDocument/2006/relationships/image" Target="media/image1.wmf"/><Relationship Id="rId7" Type="http://schemas.openxmlformats.org/officeDocument/2006/relationships/hyperlink" Target="consultantplus://offline/ref=A22548B83C3012F2FF3DAE39C69B19CA8213EFD0B2DD7494102F7F1006D444D6AFA889E346B62A48D5133DD731h4cBX" TargetMode="External"/><Relationship Id="rId8" Type="http://schemas.openxmlformats.org/officeDocument/2006/relationships/hyperlink" Target="consultantplus://offline/ref=A22548B83C3012F2FF3DAE39C69B19CA8213EFD0B2DD7494102F7F1006D444D6AFA889E346B62A48D5133DD731h4cBX" TargetMode="External"/><Relationship Id="rId9" Type="http://schemas.openxmlformats.org/officeDocument/2006/relationships/hyperlink" Target="consultantplus://offline/ref=A22548B83C3012F2FF3DAE39C69B19CA8213EFD0B2DD7494102F7F1006D444D6AFA889E346B62A48D5133DD731h4cBX" TargetMode="External"/><Relationship Id="rId10" Type="http://schemas.openxmlformats.org/officeDocument/2006/relationships/image" Target="media/image2.wmf"/><Relationship Id="rId11" Type="http://schemas.openxmlformats.org/officeDocument/2006/relationships/image" Target="media/image3.wmf"/><Relationship Id="rId12" Type="http://schemas.openxmlformats.org/officeDocument/2006/relationships/image" Target="media/image4.wmf"/><Relationship Id="rId13" Type="http://schemas.openxmlformats.org/officeDocument/2006/relationships/image" Target="media/image5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wmf"/><Relationship Id="rId17" Type="http://schemas.openxmlformats.org/officeDocument/2006/relationships/image" Target="media/image7.wmf"/><Relationship Id="rId18" Type="http://schemas.openxmlformats.org/officeDocument/2006/relationships/hyperlink" Target="https://www.consultant.ru/document/cons_doc_LAW_483131/" TargetMode="External"/><Relationship Id="rId19" Type="http://schemas.openxmlformats.org/officeDocument/2006/relationships/hyperlink" Target="https://www.consultant.ru/document/cons_doc_LAW_482901/" TargetMode="External"/><Relationship Id="rId20" Type="http://schemas.openxmlformats.org/officeDocument/2006/relationships/hyperlink" Target="https://www.consultant.ru/document/cons_doc_LAW_483131/" TargetMode="External"/><Relationship Id="rId21" Type="http://schemas.openxmlformats.org/officeDocument/2006/relationships/hyperlink" Target="https://www.consultant.ru/document/cons_doc_LAW_482901/" TargetMode="External"/><Relationship Id="rId22" Type="http://schemas.openxmlformats.org/officeDocument/2006/relationships/hyperlink" Target="http://www.zakupki.gov.ru/" TargetMode="External"/><Relationship Id="rId23" Type="http://schemas.openxmlformats.org/officeDocument/2006/relationships/hyperlink" Target="https://www.consultant.ru/document/cons_doc_LAW_483131/" TargetMode="External"/><Relationship Id="rId24" Type="http://schemas.openxmlformats.org/officeDocument/2006/relationships/hyperlink" Target="https://www.consultant.ru/document/cons_doc_LAW_482901/" TargetMode="External"/><Relationship Id="rId25" Type="http://schemas.openxmlformats.org/officeDocument/2006/relationships/fontTable" Target="fontTable.xml"/><Relationship Id="rId26" Type="http://schemas.openxmlformats.org/officeDocument/2006/relationships/settings" Target="settings.xml"/><Relationship Id="rId2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</TotalTime>
  <Application>LibreOffice/7.5.6.2$Linux_X86_64 LibreOffice_project/50$Build-2</Application>
  <AppVersion>15.0000</AppVersion>
  <Pages>10</Pages>
  <Words>1546</Words>
  <Characters>10952</Characters>
  <CharactersWithSpaces>12401</CharactersWithSpaces>
  <Paragraphs>120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Коваленко Светлана Владимировна</dc:creator>
  <dc:description/>
  <dc:language>ru-RU</dc:language>
  <cp:lastModifiedBy/>
  <dcterms:modified xsi:type="dcterms:W3CDTF">2025-03-27T16:24:25Z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