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ERTEXT"/>
        <w:spacing w:lineRule="auto" w:line="264"/>
        <w:ind w:firstLine="7371"/>
        <w:rPr>
          <w:color w:val="000000" w:themeColor="text1"/>
          <w:sz w:val="26"/>
          <w:szCs w:val="26"/>
        </w:rPr>
      </w:pPr>
      <w:r>
        <w:rPr>
          <w:color w:val="000000" w:themeColor="text1"/>
          <w:sz w:val="26"/>
          <w:szCs w:val="26"/>
        </w:rPr>
        <w:t>Приложение № 2</w:t>
      </w:r>
    </w:p>
    <w:p>
      <w:pPr>
        <w:pStyle w:val="HEADERTEXT"/>
        <w:spacing w:lineRule="auto" w:line="264"/>
        <w:ind w:firstLine="7371"/>
        <w:rPr>
          <w:color w:val="000000" w:themeColor="text1"/>
          <w:sz w:val="26"/>
          <w:szCs w:val="26"/>
        </w:rPr>
      </w:pPr>
      <w:r>
        <w:rPr>
          <w:color w:val="000000" w:themeColor="text1"/>
          <w:sz w:val="26"/>
          <w:szCs w:val="26"/>
        </w:rPr>
        <w:t>к Техническому заданию</w:t>
      </w:r>
    </w:p>
    <w:p>
      <w:pPr>
        <w:pStyle w:val="HEADERTEXT"/>
        <w:spacing w:lineRule="auto" w:line="264"/>
        <w:jc w:val="right"/>
        <w:rPr>
          <w:b/>
          <w:bCs/>
          <w:color w:val="000000" w:themeColor="text1"/>
          <w:sz w:val="26"/>
          <w:szCs w:val="26"/>
        </w:rPr>
      </w:pPr>
      <w:r>
        <w:rPr>
          <w:b/>
          <w:bCs/>
          <w:color w:val="000000" w:themeColor="text1"/>
          <w:sz w:val="26"/>
          <w:szCs w:val="26"/>
        </w:rPr>
      </w:r>
    </w:p>
    <w:p>
      <w:pPr>
        <w:pStyle w:val="HEADERTEXT"/>
        <w:spacing w:lineRule="auto" w:line="264"/>
        <w:jc w:val="center"/>
        <w:rPr>
          <w:b/>
          <w:bCs/>
          <w:color w:val="000000" w:themeColor="text1"/>
          <w:sz w:val="26"/>
          <w:szCs w:val="26"/>
        </w:rPr>
      </w:pPr>
      <w:r>
        <w:rPr>
          <w:b/>
          <w:bCs/>
          <w:color w:val="000000" w:themeColor="text1"/>
          <w:sz w:val="26"/>
          <w:szCs w:val="26"/>
        </w:rPr>
        <w:t xml:space="preserve">Требования к организации дорожного движения в местах производства </w:t>
      </w:r>
    </w:p>
    <w:p>
      <w:pPr>
        <w:pStyle w:val="HEADERTEXT"/>
        <w:spacing w:lineRule="auto" w:line="264"/>
        <w:jc w:val="center"/>
        <w:rPr>
          <w:b/>
          <w:bCs/>
          <w:color w:val="000000" w:themeColor="text1"/>
          <w:sz w:val="26"/>
          <w:szCs w:val="26"/>
        </w:rPr>
      </w:pPr>
      <w:r>
        <w:rPr>
          <w:b/>
          <w:bCs/>
          <w:color w:val="000000" w:themeColor="text1"/>
          <w:sz w:val="26"/>
          <w:szCs w:val="26"/>
        </w:rPr>
        <w:t>дорожных работ</w:t>
      </w:r>
    </w:p>
    <w:p>
      <w:pPr>
        <w:pStyle w:val="FORMATTEXT"/>
        <w:spacing w:lineRule="auto" w:line="264"/>
        <w:ind w:firstLine="568"/>
        <w:jc w:val="both"/>
        <w:rPr>
          <w:color w:val="000000" w:themeColor="text1"/>
          <w:sz w:val="26"/>
          <w:szCs w:val="26"/>
        </w:rPr>
      </w:pPr>
      <w:r>
        <w:rPr>
          <w:color w:val="000000" w:themeColor="text1"/>
          <w:sz w:val="26"/>
          <w:szCs w:val="26"/>
        </w:rPr>
      </w:r>
    </w:p>
    <w:p>
      <w:pPr>
        <w:pStyle w:val="FORMATTEXT"/>
        <w:spacing w:lineRule="auto" w:line="264"/>
        <w:ind w:firstLine="568"/>
        <w:jc w:val="both"/>
        <w:rPr>
          <w:color w:val="000000" w:themeColor="text1"/>
          <w:sz w:val="26"/>
          <w:szCs w:val="26"/>
        </w:rPr>
      </w:pPr>
      <w:r>
        <w:rPr>
          <w:color w:val="000000" w:themeColor="text1"/>
          <w:sz w:val="26"/>
          <w:szCs w:val="26"/>
        </w:rPr>
        <w:t>Подрядчик обязан обеспечить безопасность дорожного движения при производстве работ, а именно:</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при организации движения в местах производства дорожных работ использовать все необходимые технические средства, предусмотренные утвержденным проектом организации дорожного движения;</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к обустройству участка работ временными знаками, ограждениями и другими техническими средствами следует приступать только после согласования и утверждения схем организации дорожного движения и ограждению мест производства дорожных работ руководителем организации, в оперативном управлении которой находится автомобильная дорога с подписанием акта о соответствии организации дорожного движения схеме организации дорожного движения;</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к выполнению дорожных работ, в том числе размещению дорожных машин, инвентаря, материалов, нарушающих режим движения, разрешается приступать после полного обустройства места работ всеми необходимыми техническими средствами организации дорожного движения;</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перед началом работ провести рабочим и машинистам дорожных машин инструктаж по технике безопасности и ознакомить их со схемой организации движения на месте работ, с применяемой условной сигнализацией, подаваемой жестами и флажками, с порядком движения дорожных машин и транспортных средств в местах разворота, въездах и съездах, местах складирования материалов и хранения инвентаря;</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за счет собственных средств устанавливать и содержать временные технические средства организации движения, применяемые при производстве работ;</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расстановку знаков, ограждающих и направляющих устройств осуществлять перед началом работ с конца участка, наиболее удаленного от зоны производства работ, причем в первую очередь со стороны, свободной от дорожных работ. Сначала установить информационные щиты, дорожные знаки, дорожные светофоры, нанести временную горизонтальную дорожную разметку, затем установить ограждающие и направляющие устройства. Демонтаж дорожных знаков, ограждающих и направляющих устройств производить в обратной последовательности;</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убирать за пределы земляного полотна дорожные машины и оборудование на период темного времени суток, если в этот период не проводятся работы. При невозможности размещения за пределами земляного полотна, разместить их не ближе 1,5 м от границы ближайшей полосы, по которой осуществляется движение, при этом дорожные машины оградить с обеих сторон блоками или барьерами с сигнальными фонарями красного цвета и соответствующими дорожными знаками;</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в населенных пунктах машины и оборудование в темное время суток следует размещать на прилегающих дворовых территориях или местных проездах, имеющих электрическое освещение;</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обеспечить рабочих, выполняющих дорожные работы специальной одеждой (жилетами) ярко-оранжевого цвета со световозвращающими вставками;</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дорожные знаки (типоразмер, форму, расцветку, символы) и иные технические средства организации дорожного движения использовать в соответствии с "</w:t>
      </w:r>
      <w:hyperlink r:id="rId2" w:tgtFrame="&quot;ГОСТ Р 52290-2004 Технические средства организации дорожного движения. Знаки дорожные ...">
        <w:r>
          <w:rPr>
            <w:rStyle w:val="-"/>
            <w:color w:val="0000AA"/>
            <w:sz w:val="26"/>
            <w:szCs w:val="26"/>
          </w:rPr>
          <w:t>ГОСТ Р 52290-2004</w:t>
        </w:r>
      </w:hyperlink>
      <w:r>
        <w:rPr>
          <w:rStyle w:val="-"/>
          <w:color w:val="000000" w:themeColor="text1"/>
          <w:sz w:val="26"/>
          <w:szCs w:val="26"/>
        </w:rPr>
        <w:t xml:space="preserve">. </w:t>
      </w:r>
      <w:r>
        <w:rPr>
          <w:color w:val="000000" w:themeColor="text1"/>
          <w:sz w:val="26"/>
          <w:szCs w:val="26"/>
        </w:rPr>
        <w:t xml:space="preserve">Технические средства организации дорожного движения. Знаки дорожные. Общие технические требования" (далее - </w:t>
      </w:r>
      <w:hyperlink r:id="rId3" w:tgtFrame="&quot;ГОСТ Р 52290-2004 Технические средства организации дорожного движения. Знаки дорожные ...">
        <w:r>
          <w:rPr>
            <w:rStyle w:val="-"/>
            <w:color w:val="0000AA"/>
            <w:sz w:val="26"/>
            <w:szCs w:val="26"/>
          </w:rPr>
          <w:t>ГОСТ Р 52290-2004</w:t>
        </w:r>
      </w:hyperlink>
      <w:r>
        <w:rPr>
          <w:color w:val="000000" w:themeColor="text1"/>
          <w:sz w:val="26"/>
          <w:szCs w:val="26"/>
        </w:rPr>
        <w:t>), "</w:t>
      </w:r>
      <w:hyperlink r:id="rId4" w:tgtFrame="&quot;ГОСТ 32945-2014 Дороги автомобильные общего пользования. Знаки ...">
        <w:r>
          <w:rPr>
            <w:rStyle w:val="-"/>
            <w:color w:val="0000AA"/>
            <w:sz w:val="26"/>
            <w:szCs w:val="26"/>
          </w:rPr>
          <w:t>ГОСТ 32945-2014</w:t>
        </w:r>
      </w:hyperlink>
      <w:r>
        <w:rPr>
          <w:rStyle w:val="-"/>
          <w:color w:val="0000AA"/>
          <w:sz w:val="26"/>
          <w:szCs w:val="26"/>
        </w:rPr>
        <w:t>.</w:t>
      </w:r>
      <w:r>
        <w:rPr>
          <w:color w:val="000000" w:themeColor="text1"/>
          <w:sz w:val="26"/>
          <w:szCs w:val="26"/>
        </w:rPr>
        <w:t xml:space="preserve"> Дороги автомобильные общего пользования. Знаки дорожные. Технические требования" (далее - </w:t>
      </w:r>
      <w:hyperlink r:id="rId5" w:tgtFrame="&quot;ГОСТ 32945-2014 Дороги автомобильные общего пользования. Знаки ...">
        <w:r>
          <w:rPr>
            <w:rStyle w:val="-"/>
            <w:color w:val="0000AA"/>
            <w:sz w:val="26"/>
            <w:szCs w:val="26"/>
          </w:rPr>
          <w:t>ГОСТ 32945-2014</w:t>
        </w:r>
      </w:hyperlink>
      <w:r>
        <w:rPr>
          <w:rStyle w:val="-"/>
          <w:color w:val="0000AA"/>
          <w:sz w:val="26"/>
          <w:szCs w:val="26"/>
        </w:rPr>
        <w:t>)</w:t>
      </w:r>
      <w:r>
        <w:rPr>
          <w:color w:val="000000" w:themeColor="text1"/>
          <w:sz w:val="26"/>
          <w:szCs w:val="26"/>
        </w:rPr>
        <w:t>.</w:t>
      </w:r>
    </w:p>
    <w:p>
      <w:pPr>
        <w:pStyle w:val="FORMATTEXT"/>
        <w:numPr>
          <w:ilvl w:val="0"/>
          <w:numId w:val="1"/>
        </w:numPr>
        <w:spacing w:lineRule="auto" w:line="264"/>
        <w:ind w:firstLine="568"/>
        <w:jc w:val="both"/>
        <w:rPr>
          <w:color w:val="000000" w:themeColor="text1"/>
          <w:sz w:val="26"/>
          <w:szCs w:val="26"/>
        </w:rPr>
      </w:pPr>
      <w:r>
        <w:rPr>
          <w:color w:val="000000" w:themeColor="text1"/>
          <w:sz w:val="26"/>
          <w:szCs w:val="26"/>
        </w:rPr>
        <w:t>применять дорожные знаки, изготовленные с использованием высокоинтенсивной световозвращающей алмазной пленки типа Б;</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 xml:space="preserve">дорожные знаки 4.2.1 и 4.2.2 «Объезд препятствия справа (слева)», применяемые в местах производства работ использовать только со световой индикацией (импульсными стрелками) в соответствии с требованиями </w:t>
      </w:r>
      <w:hyperlink r:id="rId6" w:tgtFrame="&quot;ГОСТ Р 52290-2004 Технические средства организации дорожного движения. Знаки дорожные ...">
        <w:r>
          <w:rPr>
            <w:rStyle w:val="-"/>
            <w:color w:val="0000AA"/>
            <w:sz w:val="26"/>
            <w:szCs w:val="26"/>
          </w:rPr>
          <w:t>ГОСТ Р 52290-2004</w:t>
        </w:r>
      </w:hyperlink>
      <w:r>
        <w:rPr>
          <w:color w:val="000000" w:themeColor="text1"/>
          <w:sz w:val="26"/>
          <w:szCs w:val="26"/>
        </w:rPr>
        <w:t xml:space="preserve">, </w:t>
      </w:r>
      <w:hyperlink r:id="rId7" w:tgtFrame="&quot;ГОСТ 32945-2014 Дороги автомобильные общего пользования. Знаки ...">
        <w:r>
          <w:rPr>
            <w:rStyle w:val="-"/>
            <w:color w:val="0000AA"/>
            <w:sz w:val="26"/>
            <w:szCs w:val="26"/>
          </w:rPr>
          <w:t>ГОСТ 32945-2014</w:t>
        </w:r>
      </w:hyperlink>
      <w:r>
        <w:rPr>
          <w:rStyle w:val="-"/>
          <w:color w:val="000000" w:themeColor="text1"/>
          <w:sz w:val="26"/>
          <w:szCs w:val="26"/>
        </w:rPr>
        <w:t>,</w:t>
      </w:r>
      <w:r>
        <w:rPr>
          <w:rStyle w:val="-"/>
          <w:color w:val="000000" w:themeColor="text1"/>
          <w:sz w:val="26"/>
          <w:szCs w:val="26"/>
          <w:u w:val="none"/>
        </w:rPr>
        <w:t xml:space="preserve"> </w:t>
      </w:r>
      <w:r>
        <w:rPr>
          <w:rStyle w:val="-"/>
          <w:b w:val="false"/>
          <w:color w:val="000000" w:themeColor="text1"/>
          <w:sz w:val="26"/>
          <w:szCs w:val="26"/>
          <w:u w:val="none"/>
        </w:rPr>
        <w:t>"</w:t>
      </w:r>
      <w:r>
        <w:rPr>
          <w:rStyle w:val="-"/>
          <w:color w:val="0000AA"/>
          <w:sz w:val="26"/>
          <w:szCs w:val="26"/>
        </w:rPr>
        <w:t>ГОСТ Р 52289-2019.</w:t>
      </w:r>
      <w:r>
        <w:rPr>
          <w:rStyle w:val="-"/>
          <w:b w:val="false"/>
          <w:color w:val="000000" w:themeColor="text1"/>
          <w:sz w:val="26"/>
          <w:szCs w:val="26"/>
          <w:u w:val="none"/>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обеспечить расстояние от края проезжей части до ближайшего к ней края знака не менее 0,5 м, расстояние от нижнего края знака до поверхности дорожного покрытия должно быть от 2,0 до 4,0 м. При установке знаков на переносных опорах, ограждающих щитах или барьерах, нижний край знака должен находиться на высоте не менее 0,6 м от поверхности земли;</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сигнальные фонари устанавливать на высоте 1,5-2,0 м над уровнем проезжей части. Мощность ламп в светильниках не должна превышать 15-25 Вт. Расстояние их видимости при нормальной прозрачности атмосферы должно быть 150-300 м;</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использовать защитные блоки из полимерного материала (временные дорожные барьеры по "</w:t>
      </w:r>
      <w:hyperlink r:id="rId8" w:tgtFrame="&quot;ГОСТ 32758-2014 Дороги автомобильные общего пользования. Временные ...">
        <w:r>
          <w:rPr>
            <w:rStyle w:val="-"/>
            <w:color w:val="0000AA"/>
            <w:sz w:val="26"/>
            <w:szCs w:val="26"/>
          </w:rPr>
          <w:t>ГОСТ 32758-2014</w:t>
        </w:r>
      </w:hyperlink>
      <w:r>
        <w:rPr>
          <w:rStyle w:val="-"/>
          <w:color w:val="0000AA"/>
          <w:sz w:val="26"/>
          <w:szCs w:val="26"/>
        </w:rPr>
        <w:t>.</w:t>
      </w:r>
      <w:r>
        <w:rPr>
          <w:color w:val="000000" w:themeColor="text1"/>
          <w:sz w:val="26"/>
          <w:szCs w:val="26"/>
        </w:rPr>
        <w:t xml:space="preserve"> Дороги автомобильные общего пользования. Временные технические средства организации дорожного движения. Технические требования и правила применения") до 3-х суток, более 3-х суток парапетные ограждения из железобетона для поперечного ограждения рабочей зоны и ограждения рабочей зоны вдоль проезжей части при проведении долгосрочных дорожных работ без разрытий или при глубине разрытия менее 50 см;</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во избежание самопроизвольного перемещения полимерных блоков по проезжей заполнить их соляным раствором, песком либо полимерной крошкой;</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при установке чередовать защитные блоки белого и красного цвета;</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установить защитные блоки из полимерного материала и скрепить между собой без разрывов вдоль проезжей части в следующих случаях:</w:t>
      </w:r>
    </w:p>
    <w:p>
      <w:pPr>
        <w:pStyle w:val="Normal"/>
        <w:numPr>
          <w:ilvl w:val="0"/>
          <w:numId w:val="2"/>
        </w:numPr>
        <w:spacing w:lineRule="auto" w:line="264"/>
        <w:ind w:left="0" w:firstLine="568"/>
        <w:jc w:val="both"/>
        <w:rPr>
          <w:color w:val="000000" w:themeColor="text1"/>
          <w:sz w:val="26"/>
          <w:szCs w:val="26"/>
        </w:rPr>
      </w:pPr>
      <w:r>
        <w:rPr>
          <w:color w:val="000000" w:themeColor="text1"/>
          <w:sz w:val="26"/>
          <w:szCs w:val="26"/>
        </w:rPr>
        <w:t>в зоне производства дорожных работ с разрытиями глубиной 50 см и более на расстоянии не менее 1 м от края разрытия;</w:t>
      </w:r>
    </w:p>
    <w:p>
      <w:pPr>
        <w:pStyle w:val="Normal"/>
        <w:numPr>
          <w:ilvl w:val="0"/>
          <w:numId w:val="2"/>
        </w:numPr>
        <w:spacing w:lineRule="auto" w:line="264"/>
        <w:ind w:left="0" w:firstLine="568"/>
        <w:jc w:val="both"/>
        <w:rPr>
          <w:color w:val="000000" w:themeColor="text1"/>
          <w:sz w:val="26"/>
          <w:szCs w:val="26"/>
        </w:rPr>
      </w:pPr>
      <w:r>
        <w:rPr>
          <w:color w:val="000000" w:themeColor="text1"/>
          <w:sz w:val="26"/>
          <w:szCs w:val="26"/>
        </w:rPr>
        <w:t>в пределах участка производства дорожных работ (кроме зоны предупреждения) для разделения транспортных потоков противоположных направлений – по оси проезжей части участка дороги, по которому временно организуется движение во встречных направлениях;</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временную горизонтальную дорожную разметку наносить краской оранжевого цвета;</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после завершения работ немедленно демонтировать все временные дорожные знаки и технические средства организации движения, связанные с проводимыми работами;</w:t>
      </w:r>
    </w:p>
    <w:p>
      <w:pPr>
        <w:pStyle w:val="Normal"/>
        <w:numPr>
          <w:ilvl w:val="0"/>
          <w:numId w:val="1"/>
        </w:numPr>
        <w:spacing w:lineRule="auto" w:line="264"/>
        <w:ind w:firstLine="568"/>
        <w:jc w:val="both"/>
        <w:rPr>
          <w:color w:val="000000" w:themeColor="text1"/>
          <w:sz w:val="26"/>
          <w:szCs w:val="26"/>
        </w:rPr>
      </w:pPr>
      <w:r>
        <w:rPr>
          <w:color w:val="000000" w:themeColor="text1"/>
          <w:sz w:val="26"/>
          <w:szCs w:val="26"/>
        </w:rPr>
        <w:t>исключи</w:t>
      </w:r>
      <w:bookmarkStart w:id="0" w:name="_GoBack"/>
      <w:bookmarkEnd w:id="0"/>
      <w:r>
        <w:rPr>
          <w:color w:val="000000" w:themeColor="text1"/>
          <w:sz w:val="26"/>
          <w:szCs w:val="26"/>
        </w:rPr>
        <w:t>ть вынос грязи на покрытие проезжей части автомобильной дороги.</w:t>
      </w:r>
    </w:p>
    <w:sectPr>
      <w:type w:val="nextPage"/>
      <w:pgSz w:w="11906" w:h="16838"/>
      <w:pgMar w:left="1134" w:right="567" w:gutter="0" w:header="0" w:top="709" w:footer="0" w:bottom="829"/>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Tahoma">
    <w:charset w:val="01"/>
    <w:family w:val="roman"/>
    <w:pitch w:val="default"/>
  </w:font>
  <w:font w:name="PT Astra Serif">
    <w:charset w:val="01"/>
    <w:family w:val="roman"/>
    <w:pitch w:val="default"/>
  </w:font>
  <w:font w:name="Verdana">
    <w:charset w:val="01"/>
    <w:family w:val="roman"/>
    <w:pitch w:val="default"/>
  </w:font>
  <w:font w:name="Calibri">
    <w:charset w:val="01"/>
    <w:family w:val="roman"/>
    <w:pitch w:val="default"/>
  </w:font>
  <w:font w:name="Times New Roman">
    <w:charset w:val="01"/>
    <w:family w:val="roman"/>
    <w:pitch w:val="variable"/>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0" w:hanging="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10" w:hanging="0"/>
      </w:pPr>
      <w:rPr>
        <w:rFonts w:ascii="Symbol" w:hAnsi="Symbol" w:cs="Symbol" w:hint="default"/>
      </w:rPr>
    </w:lvl>
    <w:lvl w:ilvl="1">
      <w:start w:val="1"/>
      <w:numFmt w:val="bullet"/>
      <w:lvlText w:val="o"/>
      <w:lvlJc w:val="left"/>
      <w:pPr>
        <w:tabs>
          <w:tab w:val="num" w:pos="0"/>
        </w:tabs>
        <w:ind w:left="2150" w:hanging="360"/>
      </w:pPr>
      <w:rPr>
        <w:rFonts w:ascii="Courier New" w:hAnsi="Courier New" w:cs="Courier New" w:hint="default"/>
      </w:rPr>
    </w:lvl>
    <w:lvl w:ilvl="2">
      <w:start w:val="1"/>
      <w:numFmt w:val="bullet"/>
      <w:lvlText w:val=""/>
      <w:lvlJc w:val="left"/>
      <w:pPr>
        <w:tabs>
          <w:tab w:val="num" w:pos="0"/>
        </w:tabs>
        <w:ind w:left="2870" w:hanging="360"/>
      </w:pPr>
      <w:rPr>
        <w:rFonts w:ascii="Wingdings" w:hAnsi="Wingdings" w:cs="Wingdings" w:hint="default"/>
      </w:rPr>
    </w:lvl>
    <w:lvl w:ilvl="3">
      <w:start w:val="1"/>
      <w:numFmt w:val="bullet"/>
      <w:lvlText w:val=""/>
      <w:lvlJc w:val="left"/>
      <w:pPr>
        <w:tabs>
          <w:tab w:val="num" w:pos="0"/>
        </w:tabs>
        <w:ind w:left="3590" w:hanging="360"/>
      </w:pPr>
      <w:rPr>
        <w:rFonts w:ascii="Symbol" w:hAnsi="Symbol" w:cs="Symbol" w:hint="default"/>
      </w:rPr>
    </w:lvl>
    <w:lvl w:ilvl="4">
      <w:start w:val="1"/>
      <w:numFmt w:val="bullet"/>
      <w:lvlText w:val="o"/>
      <w:lvlJc w:val="left"/>
      <w:pPr>
        <w:tabs>
          <w:tab w:val="num" w:pos="0"/>
        </w:tabs>
        <w:ind w:left="4310" w:hanging="360"/>
      </w:pPr>
      <w:rPr>
        <w:rFonts w:ascii="Courier New" w:hAnsi="Courier New" w:cs="Courier New" w:hint="default"/>
      </w:rPr>
    </w:lvl>
    <w:lvl w:ilvl="5">
      <w:start w:val="1"/>
      <w:numFmt w:val="bullet"/>
      <w:lvlText w:val=""/>
      <w:lvlJc w:val="left"/>
      <w:pPr>
        <w:tabs>
          <w:tab w:val="num" w:pos="0"/>
        </w:tabs>
        <w:ind w:left="5030" w:hanging="360"/>
      </w:pPr>
      <w:rPr>
        <w:rFonts w:ascii="Wingdings" w:hAnsi="Wingdings" w:cs="Wingdings" w:hint="default"/>
      </w:rPr>
    </w:lvl>
    <w:lvl w:ilvl="6">
      <w:start w:val="1"/>
      <w:numFmt w:val="bullet"/>
      <w:lvlText w:val=""/>
      <w:lvlJc w:val="left"/>
      <w:pPr>
        <w:tabs>
          <w:tab w:val="num" w:pos="0"/>
        </w:tabs>
        <w:ind w:left="5750" w:hanging="360"/>
      </w:pPr>
      <w:rPr>
        <w:rFonts w:ascii="Symbol" w:hAnsi="Symbol" w:cs="Symbol" w:hint="default"/>
      </w:rPr>
    </w:lvl>
    <w:lvl w:ilvl="7">
      <w:start w:val="1"/>
      <w:numFmt w:val="bullet"/>
      <w:lvlText w:val="o"/>
      <w:lvlJc w:val="left"/>
      <w:pPr>
        <w:tabs>
          <w:tab w:val="num" w:pos="0"/>
        </w:tabs>
        <w:ind w:left="6470" w:hanging="360"/>
      </w:pPr>
      <w:rPr>
        <w:rFonts w:ascii="Courier New" w:hAnsi="Courier New" w:cs="Courier New" w:hint="default"/>
      </w:rPr>
    </w:lvl>
    <w:lvl w:ilvl="8">
      <w:start w:val="1"/>
      <w:numFmt w:val="bullet"/>
      <w:lvlText w:val=""/>
      <w:lvlJc w:val="left"/>
      <w:pPr>
        <w:tabs>
          <w:tab w:val="num" w:pos="0"/>
        </w:tabs>
        <w:ind w:left="719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b4806"/>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3" w:customStyle="1">
    <w:name w:val="Основной текст (3) + Не полужирный"/>
    <w:qFormat/>
    <w:rsid w:val="005b4806"/>
    <w:rPr>
      <w:rFonts w:ascii="Times New Roman" w:hAnsi="Times New Roman" w:cs="Times New Roman"/>
      <w:b/>
      <w:bCs/>
      <w:i/>
      <w:iCs/>
      <w:spacing w:val="0"/>
      <w:sz w:val="27"/>
      <w:szCs w:val="27"/>
    </w:rPr>
  </w:style>
  <w:style w:type="character" w:styleId="Style14" w:customStyle="1">
    <w:name w:val="Основной текст с отступом Знак"/>
    <w:qFormat/>
    <w:rsid w:val="00ba2a2c"/>
    <w:rPr>
      <w:sz w:val="28"/>
      <w:szCs w:val="28"/>
      <w:lang w:val="ru-RU" w:eastAsia="ru-RU" w:bidi="ar-SA"/>
    </w:rPr>
  </w:style>
  <w:style w:type="character" w:styleId="Apple-converted-space" w:customStyle="1">
    <w:name w:val="apple-converted-space"/>
    <w:basedOn w:val="DefaultParagraphFont"/>
    <w:qFormat/>
    <w:rsid w:val="00ba2a2c"/>
    <w:rPr/>
  </w:style>
  <w:style w:type="character" w:styleId="Style15" w:customStyle="1">
    <w:name w:val="Текст выноски Знак"/>
    <w:link w:val="BalloonText"/>
    <w:qFormat/>
    <w:rsid w:val="00f2588e"/>
    <w:rPr>
      <w:rFonts w:ascii="Tahoma" w:hAnsi="Tahoma" w:cs="Tahoma"/>
      <w:sz w:val="16"/>
      <w:szCs w:val="16"/>
    </w:rPr>
  </w:style>
  <w:style w:type="character" w:styleId="-">
    <w:name w:val="Hyperlink"/>
    <w:basedOn w:val="DefaultParagraphFont"/>
    <w:unhideWhenUsed/>
    <w:rsid w:val="003f13a8"/>
    <w:rPr>
      <w:color w:val="0563C1" w:themeColor="hyperlink"/>
      <w:u w:val="single"/>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Style21">
    <w:name w:val="Title"/>
    <w:basedOn w:val="Normal"/>
    <w:next w:val="Style17"/>
    <w:qFormat/>
    <w:pPr>
      <w:keepNext w:val="true"/>
      <w:spacing w:before="240" w:after="120"/>
    </w:pPr>
    <w:rPr>
      <w:rFonts w:ascii="PT Astra Serif" w:hAnsi="PT Astra Serif" w:eastAsia="Tahoma" w:cs="Noto Sans Devanagari"/>
      <w:sz w:val="28"/>
      <w:szCs w:val="28"/>
    </w:rPr>
  </w:style>
  <w:style w:type="paragraph" w:styleId="Caption">
    <w:name w:val="caption"/>
    <w:basedOn w:val="Normal"/>
    <w:qFormat/>
    <w:pPr>
      <w:suppressLineNumbers/>
      <w:spacing w:before="120" w:after="120"/>
    </w:pPr>
    <w:rPr>
      <w:rFonts w:ascii="PT Astra Serif" w:hAnsi="PT Astra Serif" w:cs="Noto Sans Devanagari"/>
      <w:i/>
      <w:iCs/>
    </w:rPr>
  </w:style>
  <w:style w:type="paragraph" w:styleId="Indexheading">
    <w:name w:val="index heading"/>
    <w:basedOn w:val="Normal"/>
    <w:qFormat/>
    <w:pPr>
      <w:suppressLineNumbers/>
    </w:pPr>
    <w:rPr>
      <w:rFonts w:ascii="PT Astra Serif" w:hAnsi="PT Astra Serif" w:cs="Noto Sans Devanagari"/>
    </w:rPr>
  </w:style>
  <w:style w:type="paragraph" w:styleId="FORMATTEXT" w:customStyle="1">
    <w:name w:val=".FORMATTEXT"/>
    <w:qFormat/>
    <w:rsid w:val="00325f0c"/>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ERTEXT" w:customStyle="1">
    <w:name w:val=".HEADERTEXT"/>
    <w:qFormat/>
    <w:rsid w:val="00325f0c"/>
    <w:pPr>
      <w:widowControl w:val="false"/>
      <w:suppressAutoHyphens w:val="true"/>
      <w:bidi w:val="0"/>
      <w:spacing w:before="0" w:after="0"/>
      <w:jc w:val="left"/>
    </w:pPr>
    <w:rPr>
      <w:rFonts w:ascii="Times New Roman" w:hAnsi="Times New Roman" w:eastAsia="Times New Roman" w:cs="Times New Roman"/>
      <w:color w:val="2B4279"/>
      <w:kern w:val="0"/>
      <w:sz w:val="24"/>
      <w:szCs w:val="24"/>
      <w:lang w:val="ru-RU" w:eastAsia="ru-RU" w:bidi="ar-SA"/>
    </w:rPr>
  </w:style>
  <w:style w:type="paragraph" w:styleId="Style22">
    <w:name w:val="Body Text Indent"/>
    <w:basedOn w:val="Normal"/>
    <w:link w:val="Style14"/>
    <w:rsid w:val="00ba2a2c"/>
    <w:pPr>
      <w:ind w:firstLine="900"/>
      <w:jc w:val="both"/>
    </w:pPr>
    <w:rPr>
      <w:sz w:val="28"/>
      <w:szCs w:val="28"/>
    </w:rPr>
  </w:style>
  <w:style w:type="paragraph" w:styleId="FR3" w:customStyle="1">
    <w:name w:val="FR3"/>
    <w:qFormat/>
    <w:rsid w:val="00ba2a2c"/>
    <w:pPr>
      <w:widowControl w:val="false"/>
      <w:suppressAutoHyphens w:val="true"/>
      <w:bidi w:val="0"/>
      <w:spacing w:lineRule="auto" w:line="480" w:before="0" w:after="0"/>
      <w:jc w:val="both"/>
    </w:pPr>
    <w:rPr>
      <w:rFonts w:ascii="Times New Roman" w:hAnsi="Times New Roman" w:eastAsia="Times New Roman" w:cs="Times New Roman"/>
      <w:color w:val="auto"/>
      <w:kern w:val="0"/>
      <w:sz w:val="24"/>
      <w:szCs w:val="24"/>
      <w:lang w:val="ru-RU" w:eastAsia="ru-RU" w:bidi="ar-SA"/>
    </w:rPr>
  </w:style>
  <w:style w:type="paragraph" w:styleId="1" w:customStyle="1">
    <w:name w:val="Знак1 Знак Знак Знак Знак Знак Знак Знак Знак Знак Знак Знак Знак Знак Знак Знак Знак Знак Знак Знак Знак Знак Знак Знак Знак"/>
    <w:basedOn w:val="Normal"/>
    <w:qFormat/>
    <w:rsid w:val="00346078"/>
    <w:pPr>
      <w:tabs>
        <w:tab w:val="clear" w:pos="708"/>
        <w:tab w:val="left" w:pos="360" w:leader="none"/>
      </w:tabs>
      <w:spacing w:lineRule="exact" w:line="240" w:before="0" w:after="160"/>
    </w:pPr>
    <w:rPr>
      <w:rFonts w:ascii="Verdana" w:hAnsi="Verdana" w:cs="Verdana"/>
      <w:sz w:val="20"/>
      <w:szCs w:val="20"/>
      <w:lang w:val="en-US" w:eastAsia="en-US"/>
    </w:rPr>
  </w:style>
  <w:style w:type="paragraph" w:styleId="BalloonText">
    <w:name w:val="Balloon Text"/>
    <w:basedOn w:val="Normal"/>
    <w:link w:val="Style15"/>
    <w:qFormat/>
    <w:rsid w:val="00f2588e"/>
    <w:pPr/>
    <w:rPr>
      <w:rFonts w:ascii="Tahoma" w:hAnsi="Tahoma" w:cs="Tahoma"/>
      <w:sz w:val="16"/>
      <w:szCs w:val="16"/>
    </w:rPr>
  </w:style>
  <w:style w:type="paragraph" w:styleId="Default" w:customStyle="1">
    <w:name w:val="Default"/>
    <w:qFormat/>
    <w:rsid w:val="00c90636"/>
    <w:pPr>
      <w:widowControl/>
      <w:suppressAutoHyphens w:val="true"/>
      <w:bidi w:val="0"/>
      <w:spacing w:before="0" w:after="0"/>
      <w:jc w:val="left"/>
    </w:pPr>
    <w:rPr>
      <w:rFonts w:ascii="Calibri" w:hAnsi="Calibri" w:cs="Calibri" w:eastAsia="Times New Roman"/>
      <w:color w:val="000000"/>
      <w:kern w:val="0"/>
      <w:sz w:val="24"/>
      <w:szCs w:val="24"/>
      <w:lang w:val="ru-RU" w:eastAsia="ru-RU" w:bidi="ar-SA"/>
    </w:rPr>
  </w:style>
  <w:style w:type="paragraph" w:styleId="ListParagraph">
    <w:name w:val="List Paragraph"/>
    <w:basedOn w:val="Normal"/>
    <w:uiPriority w:val="34"/>
    <w:qFormat/>
    <w:rsid w:val="00044dd3"/>
    <w:pPr>
      <w:ind w:left="708"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96.%20&#1056;&#1077;&#1084;&#1086;&#1085;&#1090;%20&#1061;&#1042;%20&#1041;&#1072;&#1085;&#1077;&#1074;&#1091;&#1088;&#1086;&#1074;&#1086;/&#1047;&#1072;&#1082;&#1091;&#1087;&#1082;&#1072;%202%20&#1041;&#1072;&#1085;&#1077;&#1074;&#1091;&#1088;&#1086;&#1074;&#1086;/&#1055;&#1088;&#1080;&#1083;&#1086;&#1078;&#1077;&#1085;&#1080;&#1103;%20&#1082;%20&#1058;&#1047;/16.02.2023)" TargetMode="External"/><Relationship Id="rId3" Type="http://schemas.openxmlformats.org/officeDocument/2006/relationships/hyperlink" Target="../../96.%20&#1056;&#1077;&#1084;&#1086;&#1085;&#1090;%20&#1061;&#1042;%20&#1041;&#1072;&#1085;&#1077;&#1074;&#1091;&#1088;&#1086;&#1074;&#1086;/&#1047;&#1072;&#1082;&#1091;&#1087;&#1082;&#1072;%202%20&#1041;&#1072;&#1085;&#1077;&#1074;&#1091;&#1088;&#1086;&#1074;&#1086;/&#1055;&#1088;&#1080;&#1083;&#1086;&#1078;&#1077;&#1085;&#1080;&#1103;%20&#1082;%20&#1058;&#1047;/16.02.2023)" TargetMode="External"/><Relationship Id="rId4" Type="http://schemas.openxmlformats.org/officeDocument/2006/relationships/hyperlink" Target="../../96.%20&#1056;&#1077;&#1084;&#1086;&#1085;&#1090;%20&#1061;&#1042;%20&#1041;&#1072;&#1085;&#1077;&#1074;&#1091;&#1088;&#1086;&#1074;&#1086;/&#1047;&#1072;&#1082;&#1091;&#1087;&#1082;&#1072;%202%20&#1041;&#1072;&#1085;&#1077;&#1074;&#1091;&#1088;&#1086;&#1074;&#1086;/&#1055;&#1088;&#1080;&#1083;&#1086;&#1078;&#1077;&#1085;&#1080;&#1103;%20&#1082;%20&#1058;&#1047;/08.09.2016)" TargetMode="External"/><Relationship Id="rId5" Type="http://schemas.openxmlformats.org/officeDocument/2006/relationships/hyperlink" Target="../../96.%20&#1056;&#1077;&#1084;&#1086;&#1085;&#1090;%20&#1061;&#1042;%20&#1041;&#1072;&#1085;&#1077;&#1074;&#1091;&#1088;&#1086;&#1074;&#1086;/&#1047;&#1072;&#1082;&#1091;&#1087;&#1082;&#1072;%202%20&#1041;&#1072;&#1085;&#1077;&#1074;&#1091;&#1088;&#1086;&#1074;&#1086;/&#1055;&#1088;&#1080;&#1083;&#1086;&#1078;&#1077;&#1085;&#1080;&#1103;%20&#1082;%20&#1058;&#1047;/08.09.2016)" TargetMode="External"/><Relationship Id="rId6" Type="http://schemas.openxmlformats.org/officeDocument/2006/relationships/hyperlink" Target="../../96.%20&#1056;&#1077;&#1084;&#1086;&#1085;&#1090;%20&#1061;&#1042;%20&#1041;&#1072;&#1085;&#1077;&#1074;&#1091;&#1088;&#1086;&#1074;&#1086;/&#1047;&#1072;&#1082;&#1091;&#1087;&#1082;&#1072;%202%20&#1041;&#1072;&#1085;&#1077;&#1074;&#1091;&#1088;&#1086;&#1074;&#1086;/&#1055;&#1088;&#1080;&#1083;&#1086;&#1078;&#1077;&#1085;&#1080;&#1103;%20&#1082;%20&#1058;&#1047;/16.02.2023)" TargetMode="External"/><Relationship Id="rId7" Type="http://schemas.openxmlformats.org/officeDocument/2006/relationships/hyperlink" Target="../../96.%20&#1056;&#1077;&#1084;&#1086;&#1085;&#1090;%20&#1061;&#1042;%20&#1041;&#1072;&#1085;&#1077;&#1074;&#1091;&#1088;&#1086;&#1074;&#1086;/&#1047;&#1072;&#1082;&#1091;&#1087;&#1082;&#1072;%202%20&#1041;&#1072;&#1085;&#1077;&#1074;&#1091;&#1088;&#1086;&#1074;&#1086;/&#1055;&#1088;&#1080;&#1083;&#1086;&#1078;&#1077;&#1085;&#1080;&#1103;%20&#1082;%20&#1058;&#1047;/08.09.2016)" TargetMode="External"/><Relationship Id="rId8" Type="http://schemas.openxmlformats.org/officeDocument/2006/relationships/hyperlink" Target="../../96.%20&#1056;&#1077;&#1084;&#1086;&#1085;&#1090;%20&#1061;&#1042;%20&#1041;&#1072;&#1085;&#1077;&#1074;&#1091;&#1088;&#1086;&#1074;&#1086;/&#1047;&#1072;&#1082;&#1091;&#1087;&#1082;&#1072;%202%20&#1041;&#1072;&#1085;&#1077;&#1074;&#1091;&#1088;&#1086;&#1074;&#1086;/&#1055;&#1088;&#1080;&#1083;&#1086;&#1078;&#1077;&#1085;&#1080;&#1103;%20&#1082;%20&#1058;&#1047;/01.12.2015)" TargetMode="Externa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1022</TotalTime>
  <Application>LibreOffice/7.5.6.2$Linux_X86_64 LibreOffice_project/50$Build-2</Application>
  <AppVersion>15.0000</AppVersion>
  <Pages>2</Pages>
  <Words>758</Words>
  <Characters>5180</Characters>
  <CharactersWithSpaces>5889</CharactersWithSpaces>
  <Paragraphs>28</Paragraphs>
  <Company>Упрдор Самара-Уфа-Челябинск</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2017-04-08T16:11:00Z</dcterms:created>
  <dc:creator>ShajmuhametovRR</dc:creator>
  <dc:description/>
  <dc:language>ru-RU</dc:language>
  <cp:lastModifiedBy/>
  <cp:lastPrinted>2017-02-27T10:39:00Z</cp:lastPrinted>
  <dcterms:modified xsi:type="dcterms:W3CDTF">2025-03-24T14:45:40Z</dcterms:modified>
  <cp:revision>39</cp:revision>
  <dc:subject/>
  <dc:title>Приложение № 15 к техническому заданию</dc:title>
</cp:coreProperties>
</file>

<file path=docProps/custom.xml><?xml version="1.0" encoding="utf-8"?>
<Properties xmlns="http://schemas.openxmlformats.org/officeDocument/2006/custom-properties" xmlns:vt="http://schemas.openxmlformats.org/officeDocument/2006/docPropsVTypes"/>
</file>