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VND1"/>
        <w:ind w:hanging="0"/>
        <w:jc w:val="center"/>
        <w:rPr>
          <w:b/>
        </w:rPr>
      </w:pPr>
      <w:r>
        <w:rPr>
          <w:b/>
        </w:rPr>
        <w:t>Договор об оказании услуги банковского сопровождения</w:t>
      </w:r>
    </w:p>
    <w:p>
      <w:pPr>
        <w:pStyle w:val="VND1"/>
        <w:ind w:hanging="0"/>
        <w:jc w:val="center"/>
        <w:rPr/>
      </w:pPr>
      <w:r>
        <w:rPr/>
        <w:t xml:space="preserve">№ </w:t>
      </w:r>
      <w:r>
        <w:rPr/>
        <w:t>___</w:t>
      </w:r>
    </w:p>
    <w:p>
      <w:pPr>
        <w:pStyle w:val="VND1"/>
        <w:ind w:hanging="0"/>
        <w:jc w:val="center"/>
        <w:rPr/>
      </w:pPr>
      <w:r>
        <w:rPr/>
      </w:r>
    </w:p>
    <w:p>
      <w:pPr>
        <w:pStyle w:val="Normal"/>
        <w:tabs>
          <w:tab w:val="clear" w:pos="708"/>
          <w:tab w:val="left" w:pos="6663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г. Владивосток</w:t>
        <w:tab/>
        <w:t xml:space="preserve">           «___» _____ 20__ г.</w:t>
      </w:r>
    </w:p>
    <w:p>
      <w:pPr>
        <w:pStyle w:val="Normal"/>
        <w:tabs>
          <w:tab w:val="clear" w:pos="708"/>
          <w:tab w:val="left" w:pos="6663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p>
      <w:pPr>
        <w:pStyle w:val="Normal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«Газпромбанк» (Акционерное общество), далее именуемый «Банк», в лице ___________________ действующего на основании ___________________, с одной стороны, и _________________________, именуемое в дальнейшем «Заказчик», в лице ______________________, действующего на основании _______________, с другой стороны, далее именуемые «Стороны», заключили настоящий договор об оказании услуги банковского сопровождения (далее – Договор) о нижеследующем.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ПРЕДМЕТ ДОГОВОРА</w:t>
      </w:r>
    </w:p>
    <w:p>
      <w:pPr>
        <w:pStyle w:val="Standard"/>
        <w:numPr>
          <w:ilvl w:val="1"/>
          <w:numId w:val="2"/>
        </w:numPr>
        <w:tabs>
          <w:tab w:val="clear" w:pos="708"/>
          <w:tab w:val="left" w:pos="567" w:leader="none"/>
        </w:tabs>
        <w:ind w:left="0" w:hanging="0"/>
        <w:jc w:val="both"/>
        <w:rPr/>
      </w:pPr>
      <w:r>
        <w:rPr>
          <w:bCs/>
        </w:rPr>
        <w:t xml:space="preserve">Предметом настоящего Договора является оказание Банком услуг банковского сопровождения </w:t>
      </w:r>
      <w:r>
        <w:rPr/>
        <w:t>Сопровождаемого контракта (договора, проекта)</w:t>
      </w:r>
      <w:r>
        <w:rPr>
          <w:bCs/>
        </w:rPr>
        <w:t xml:space="preserve"> в соответствии с условиями Договора.</w:t>
      </w:r>
    </w:p>
    <w:p>
      <w:pPr>
        <w:pStyle w:val="Standard"/>
        <w:numPr>
          <w:ilvl w:val="1"/>
          <w:numId w:val="2"/>
        </w:numPr>
        <w:tabs>
          <w:tab w:val="clear" w:pos="708"/>
          <w:tab w:val="left" w:pos="567" w:leader="none"/>
        </w:tabs>
        <w:ind w:left="0" w:hanging="0"/>
        <w:jc w:val="both"/>
        <w:rPr>
          <w:bCs/>
        </w:rPr>
      </w:pPr>
      <w:r>
        <w:rPr>
          <w:bCs/>
        </w:rPr>
        <w:t>Термины и определения, используемые в настоящем Договоре, соответствуют терминам и определениям, используемым в Оферте Банка (приложение к Договору).</w:t>
      </w:r>
    </w:p>
    <w:p>
      <w:pPr>
        <w:pStyle w:val="Standard"/>
        <w:numPr>
          <w:ilvl w:val="1"/>
          <w:numId w:val="2"/>
        </w:numPr>
        <w:tabs>
          <w:tab w:val="clear" w:pos="708"/>
          <w:tab w:val="left" w:pos="567" w:leader="none"/>
        </w:tabs>
        <w:ind w:left="0" w:hanging="0"/>
        <w:jc w:val="both"/>
        <w:rPr>
          <w:bCs/>
        </w:rPr>
      </w:pPr>
      <w:r>
        <w:rPr>
          <w:bCs/>
        </w:rPr>
        <w:t>Стороны соглашаются, что требования настоящего Договора распространяются на расчеты, проводимые в рамках ___________________________________________________.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ЦЕНА ДОГОВОРА</w:t>
      </w:r>
    </w:p>
    <w:p>
      <w:pPr>
        <w:pStyle w:val="Standard"/>
        <w:numPr>
          <w:ilvl w:val="1"/>
          <w:numId w:val="3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Услуги Банка оказываются без взимания платы.</w:t>
      </w:r>
      <w:r>
        <w:rPr>
          <w:bCs/>
        </w:rPr>
        <w:t xml:space="preserve"> </w:t>
      </w:r>
      <w:r>
        <w:rPr>
          <w:lang w:eastAsia="en-US"/>
        </w:rPr>
        <w:t xml:space="preserve">Стоимость услуг Банка является твердой и может быть изменена только по соглашению Сторон в установленном законодательством Российской Федерации порядке. </w:t>
      </w:r>
    </w:p>
    <w:p>
      <w:pPr>
        <w:pStyle w:val="Standard"/>
        <w:numPr>
          <w:ilvl w:val="1"/>
          <w:numId w:val="3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bCs/>
        </w:rPr>
        <w:t>Стороны</w:t>
      </w:r>
      <w:r>
        <w:rPr>
          <w:lang w:eastAsia="en-US"/>
        </w:rPr>
        <w:t xml:space="preserve"> соглашаются, что требование пункта 2.1. не распространяется на тарифы Банка за расчетно-кассовое обслуживание, а также любые иные комиссии и вознаграждения Банка по продуктам и услугам, не относящимся к услуге банковского сопровождения.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ПОРЯДОК ОКАЗАНИЯ УСЛУГИ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/>
      </w:pPr>
      <w:r>
        <w:rPr>
          <w:lang w:eastAsia="en-US"/>
        </w:rPr>
        <w:t xml:space="preserve">Банк осуществляет открытие банковских счетов Исполнителям после предоставления в Банк полного комплекта документов на открытие банковского счета в соответствии с порядком, указанным на интернет-сайте Банка, по адресу: </w:t>
      </w:r>
      <w:hyperlink r:id="rId2">
        <w:r>
          <w:rPr>
            <w:u w:val="single"/>
            <w:lang w:eastAsia="en-US"/>
          </w:rPr>
          <w:t>www.gazprombank.ru</w:t>
        </w:r>
      </w:hyperlink>
      <w:r>
        <w:rPr>
          <w:lang w:eastAsia="en-US"/>
        </w:rPr>
        <w:t xml:space="preserve">. </w:t>
      </w:r>
      <w:r>
        <w:fldChar w:fldCharType="begin"/>
      </w:r>
      <w:r>
        <w:rPr>
          <w:lang w:eastAsia="en-US"/>
        </w:rPr>
        <w:instrText xml:space="preserve">www.gazprombank.ru"</w:instrText>
      </w:r>
      <w:r>
        <w:rPr>
          <w:lang w:eastAsia="en-US"/>
        </w:rPr>
      </w:r>
      <w:r>
        <w:rPr>
          <w:lang w:eastAsia="en-US"/>
        </w:rPr>
        <w:fldChar w:fldCharType="separate"/>
      </w:r>
      <w:r>
        <w:rPr>
          <w:lang w:eastAsia="en-US"/>
        </w:rPr>
      </w:r>
      <w:r>
        <w:rPr>
          <w:u w:val="single"/>
          <w:lang w:eastAsia="en-US"/>
        </w:rPr>
        <w:t>www.gazprombank.ru.</w:t>
      </w:r>
      <w:r>
        <w:rPr>
          <w:lang w:eastAsia="en-US"/>
        </w:rPr>
      </w:r>
      <w:r>
        <w:rPr>
          <w:lang w:eastAsia="en-US"/>
        </w:rPr>
        <w:fldChar w:fldCharType="end"/>
      </w:r>
      <w:r>
        <w:rPr>
          <w:lang w:eastAsia="en-US"/>
        </w:rPr>
        <w:t>При наличии открытого в Банке банковского счета для расчетов, связанных с реализацией Сопровождаемого контракта (договора, проекта), открытие дополнительного банковского счета не обязательно.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Для обеспечения соответствия режима банковского счета режиму Отдельного счета Исполнитель предоставляет в Банк А</w:t>
      </w:r>
      <w:r>
        <w:rPr/>
        <w:t xml:space="preserve">кцепт оферты, размещенный на </w:t>
      </w:r>
      <w:r>
        <w:rPr>
          <w:lang w:eastAsia="en-US"/>
        </w:rPr>
        <w:t xml:space="preserve">интернет-сайте Банка, по адресу: </w:t>
      </w:r>
      <w:hyperlink r:id="rId3">
        <w:r>
          <w:rPr>
            <w:u w:val="single"/>
            <w:lang w:eastAsia="en-US"/>
          </w:rPr>
          <w:t>www.gazprombank.ru</w:t>
        </w:r>
      </w:hyperlink>
      <w:r>
        <w:rPr>
          <w:u w:val="single"/>
          <w:lang w:eastAsia="en-US"/>
        </w:rPr>
        <w:t xml:space="preserve">. </w:t>
      </w:r>
      <w:r>
        <w:rPr>
          <w:lang w:eastAsia="en-US"/>
        </w:rPr>
        <w:t>Стороны соглашаются, что режим банковского счета считается соответствующим режиму Отдельного счета с даты приема Банком надлежащим образом оформленного и подписанного Акцепта оферты.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 xml:space="preserve">Заявка на перевод направляется в Банк по системе СДБО «Клиент-Банк.WEB». Обосновывающие документы передаются в Банк в электронном виде через Личный кабинет на портале по адресу: </w:t>
      </w:r>
      <w:r>
        <w:rPr>
          <w:lang w:val="en-US" w:eastAsia="en-US"/>
        </w:rPr>
        <w:t>bs</w:t>
      </w:r>
      <w:r>
        <w:rPr>
          <w:lang w:eastAsia="en-US"/>
        </w:rPr>
        <w:t>.gazprombank.ru, в дату направления Заявки на перевод. Согласованная Банком Заявка на перевод рассматривается Банком и Исполнителем, как Распоряжение на перевод, принятое Банком в дату ее согласования. Дополнительное направление в Банк Распоряжения на перевод Исполнителя, соответствующего согласованной Заявке на перевод, не требуется.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имеет право запросить пояснения по планируемым переводам и Обосновывающим документам, дополнительные справки и отчеты, а также подтверждения правомерности отнесения расходов (части расходов) на расходы, осуществляемые в рамках Сопровождаемого контракта (договора, проекта). Данное требование распространяется на любые переводы по Отдельному счету (включая переводы в бюджет Российской Федерации), кроме переводов на основании распоряжений взыскателей средств, выставляемых к Отдельному счету в соответствии с законодательством Российской Федерации, и распоряжений Банка.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осуществляет контроль целевого расходования денежных средств по Отдельному счету Исполнителя на предмет соответствия условиям Сопровождаемого контракта (договора, проекта), в том числе условиям договоров, при исполнении обязательств по которым инициируется перевод, а также режиму Отдельного счета, установленного в приложении к Договору.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отказывает Исполнителю в согласовании Заявок на перевод и в приеме Распоряжения на перевод в случае отрицательных результатов контроля Банком соблюдения условий режима Отдельного счета, предусмотренного Офертой.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Стороны соглашаются, что Заказчик обязан требовать от других Исполнителей, являющихся их контрагентами согласно отношениям, связанным с реализацией Сопровождаемого контракта (договора, проекта), открывать Отдельные счета в Банке для осуществления расчетов, связанных с реализацией Сопровождаемого контракта (договора, проекта).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Стороны соглашаются, что Банк не несет ответственности за отказ в приеме для исполнения Распоряжений на перевод Исполнителей, а также любые задержки в исполнении Распоряжений на перевод Исполнителей, если такой отказ или задержка осуществляются в соответствии с настоящим Договором и/или Офертой.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Стороны соглашаются, что Банк не проводит мероприятия в отношении проверки факта выполнения работ при реализации Сопровождаемого контракта (договора, проекта).</w:t>
      </w:r>
    </w:p>
    <w:p>
      <w:pPr>
        <w:pStyle w:val="Standard"/>
        <w:numPr>
          <w:ilvl w:val="1"/>
          <w:numId w:val="4"/>
        </w:numPr>
        <w:tabs>
          <w:tab w:val="clear" w:pos="708"/>
          <w:tab w:val="left" w:pos="567" w:leader="none"/>
        </w:tabs>
        <w:ind w:left="0" w:hanging="0"/>
        <w:jc w:val="both"/>
        <w:rPr/>
      </w:pPr>
      <w:r>
        <w:rPr>
          <w:lang w:eastAsia="en-US"/>
        </w:rPr>
        <w:t>Стороны соглашаются, что специальный режим проведения расходных операций по Отдельным счетам Исполнителей может быть изменен после выполнения Исполнителем своих обязательств по договорам, заключенным в рамках выполнения работ по Сопровождаемому контракту (договору, проекту), при условии письменного подтверждения Заказчиком (для Исполнителя, являющегося Заказчиком – Заказчиком по Сопровождаемому контракту)</w:t>
      </w:r>
      <w:r>
        <w:rPr>
          <w:i/>
          <w:lang w:eastAsia="en-US"/>
        </w:rPr>
        <w:t xml:space="preserve"> </w:t>
      </w:r>
      <w:r>
        <w:rPr>
          <w:lang w:eastAsia="en-US"/>
        </w:rPr>
        <w:t>исполнения Исполнителем своих обязательств и возможности снятия режима Отдельного счета Исполнителя.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ПРАВА И ОБЯЗАННОСТИ БАНКА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 xml:space="preserve">Банк обязуется открывать банковские счета и заключать с Исполнителями Акцепт оферты, форма которой определена в приложении к Договору. Банк не несет ответственности за действия и/или бездействие Исполнителей, связанные с проведением расчетов без использования Отдельных счетов. 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вправе отказать Исполнителям в открытии банковских счетов в соответствии с пунктом 5.2 статьи 7 Федерального закона от 07.08.2001 № 115-ФЗ «О 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вправе отказать Исполнителям в выполнении операций по Отдельному счету на основании пункта 11 статьи 7 Федерального закона от 07.08.2001 № 115-ФЗ «О 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вправе расторгнуть с Исполнителем договор банковского счета на основании пункта 5.2 статьи 7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вправе запрашивать у Исполнителей иные документы и информацию, необходимые для исполнения требований законодательства Российской Федерации и нормативных актов о противодействии легализации (отмыванию) доходов, полученных преступным путем, и финансированию терроризма.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обязуется отказывать Исполнителям в приеме распоряжений на перевод в случаях, установленных настоящим Договором, договором банковского счета и Оферты.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обязуется соблюдать режим использования Отдельного счета и осуществлять контроль за его соблюдением.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обязуется предоставлять</w:t>
      </w:r>
      <w:r>
        <w:rPr>
          <w:b/>
        </w:rPr>
        <w:t xml:space="preserve"> </w:t>
      </w:r>
      <w:r>
        <w:rPr>
          <w:rFonts w:eastAsia="Calibri"/>
          <w:lang w:eastAsia="en-US"/>
        </w:rPr>
        <w:t>Министерству транспорта и дорожного хозяйства Приморского края (ИНН 2538030581)</w:t>
      </w:r>
      <w:r>
        <w:rPr>
          <w:rFonts w:eastAsia="Times New Roman"/>
          <w:b/>
          <w:color w:val="000000"/>
          <w:lang w:eastAsia="ru-RU"/>
        </w:rPr>
        <w:t xml:space="preserve"> </w:t>
      </w:r>
      <w:r>
        <w:rPr>
          <w:lang w:eastAsia="en-US"/>
        </w:rPr>
        <w:t>отчеты по услуге банковского сопровождения в соответствии с Параметрами банковского сопровождения.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имеет право требовать от Заказчика предоставления копии заключенного Сопровождаемого контракта, заверенного Заказчиком, а также копий дополнений и изменений к нему.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имеет право направлять Заказчику запросы и получать от Заказчика ответы в отношении вопросов, связанных с исполнением настоящего Договора.</w:t>
      </w:r>
    </w:p>
    <w:p>
      <w:pPr>
        <w:pStyle w:val="Standard"/>
        <w:numPr>
          <w:ilvl w:val="1"/>
          <w:numId w:val="6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Банк не несет ответственности за неисполнение или ненадлежащее исполнение своих обязательств по настоящему Договору перед Заказчиком в случае совершения третьими лицами, являющимися Исполнителями и открывшими Отдельные счета в целях проведения операций при исполнении Сопровождаемого контракта, юридически значимых действий в соответствии с требованиями действующего законодательства в отношении Отдельных счетов, исполнение которых для Банка является обязательным в соответствии с законодательством.  При совершении Исполнителем таких действий Банк обязан не позднее следующего рабочего дня письменно уведомить об этом Заказчика.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ПРАВА И ОБЯЗАННОСТИ ЗАКАЗЧИКА</w:t>
      </w:r>
    </w:p>
    <w:p>
      <w:pPr>
        <w:pStyle w:val="Standard"/>
        <w:numPr>
          <w:ilvl w:val="1"/>
          <w:numId w:val="7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Заказчик обязан определять в договорах, заключаемых с контрагентами, являющимися Исполнителями в отношении Сопровождаемого контракта, условия осуществления расчетов в рамках исполнения обязательств по таким договорам: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обязанности Исполнителей целевого использования денежных средств, в соответствии с условиями настоящего Договора;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требования об осуществлении расчетов в рамках исполнения обязательств по таким договорам на Отдельном счете для проведения операций, включая операции в рамках исполнения Сопровождаемого контракта, открытом в Банке;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указывать Сопровождаемый контракт в предмете договоров, заключаемых с Исполнителями;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обязанности Исполнителей в течение 5 дней с даты заключения соответствующих договоров направить документы в Банк для открытия Отдельного счета в Банке, используемого исключительно для финансирования расходов по исполнению Сопровождаемого контракта;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обязанности Исполнителей при заключении договоров субподряда (субпоставки) обеспечить включение в заключаемые договоры обязательства Исполнителей открыть Отдельные счета в Банке и проводить расчеты по договорам исключительно через них.</w:t>
      </w:r>
    </w:p>
    <w:p>
      <w:pPr>
        <w:pStyle w:val="Standard"/>
        <w:numPr>
          <w:ilvl w:val="1"/>
          <w:numId w:val="7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Заказчик обязуется осуществлять переводы по Сопровождаемому контракту с Отдельного счета открытого в Банке исключительно на Отдельные счета Исполнителей.</w:t>
      </w:r>
    </w:p>
    <w:p>
      <w:pPr>
        <w:pStyle w:val="Standard"/>
        <w:numPr>
          <w:ilvl w:val="1"/>
          <w:numId w:val="7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Заказчик обязуется рассматривать запросы Банка в отношении настоящего Договора и направлять ответы на запросы Банка, в том числе по предоставлению дополнительной документации.</w:t>
      </w:r>
    </w:p>
    <w:p>
      <w:pPr>
        <w:pStyle w:val="Standard"/>
        <w:numPr>
          <w:ilvl w:val="1"/>
          <w:numId w:val="7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/>
        <w:t>Заказчик предоставляет Банку свое согласие на раскрытие сведений, указанных в Оферте (в том числе предоставляющих банковскую тайну), неограниченному кругу лиц путем размещения Оферты на сайте Банка.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ОТВЕТСТВЕННОСТЬ СТОРОН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6.1.</w:t>
        <w:tab/>
        <w:t>Стороны несут ответственность за неисполнение либо за ненадлежащее исполнение обязательств по Договору в соответствии с гражданским законодательством Российской Федерации и условиями Договора.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6.2.</w:t>
        <w:tab/>
        <w:t>Банк не несет ответственность за отказ в исполнении Распоряжения на перевод Исполнителя и/или задержки в исполнении Распоряжения на перевод Исполнителя, если такой отказ и/или задержка осуществляются в соответствии с условиями Договора.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6.3.</w:t>
        <w:tab/>
        <w:t>Банк не несет ответственности за качество и фактическое выполнение работ по Сопровождаемому контракту (договору, проекту).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ПОРЯДОК РАЗРЕШЕНИЯ СПОРОВ</w:t>
      </w:r>
    </w:p>
    <w:p>
      <w:pPr>
        <w:pStyle w:val="Standard"/>
        <w:numPr>
          <w:ilvl w:val="1"/>
          <w:numId w:val="9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Разногласия, по которым Стороны не достигнут соглашения путем переговоров, подлежат разрешению в Арбитражном суде Москвы.</w:t>
      </w:r>
    </w:p>
    <w:p>
      <w:pPr>
        <w:pStyle w:val="Standard"/>
        <w:numPr>
          <w:ilvl w:val="1"/>
          <w:numId w:val="9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Для целей соблюдения досудебного порядка урегулирования спора по денежным обязательствам, обязательного в соответствии с положениями Арбитражного процессуального кодекса Российской Федерации, Стороны определили: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срок для рассмотрения Заказчиком претензии Банка и для принятия мер по досудебному урегулированию такой претензии (в совокупности) составляет 30 (тридцать) календарных дней от даты направления претензии Банком;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срок для рассмотрения Банком претензии Заказчика и для принятия мер по досудебному урегулированию такой претензии (в совокупности) составляет 30 (тридцать) календарных дней от даты получения претензии.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СРОК ДЕЙСТВИЯ ДОГОВОРА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Договор вступает в силу с даты его подписания Сторонами.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Договор прекращает свое действие с момента представления Заказчиком в Банк документов, подтверждающих завершение работ в рамках Сопровождаемого контракта, за исключением положений Договора в части оплаты услуг Банка, которые действуют до даты их исполнения Сторонами.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Договор составлен в 2 (Двух) экземплярах, имеющих равную юридическую силу, из которых один находится у Заказчика, второй – в Банке.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Договор может быть изменен или дополнен по соглашению Сторон, если такое изменение или дополнение не будет противоречить требованиям законодательства Российской Федерации и нормативным документам Банка России.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Договор может быть расторгнут по инициативе Сторон в порядке, установленном законодательством Российской Федерации.</w:t>
      </w:r>
    </w:p>
    <w:p>
      <w:pPr>
        <w:pStyle w:val="Standard"/>
        <w:numPr>
          <w:ilvl w:val="1"/>
          <w:numId w:val="10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Все приложения к Договору являются его неотъемлемыми частями.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ПРИЛОЖЕНИЯ</w:t>
      </w:r>
    </w:p>
    <w:p>
      <w:pPr>
        <w:pStyle w:val="Standard"/>
        <w:numPr>
          <w:ilvl w:val="1"/>
          <w:numId w:val="11"/>
        </w:numPr>
        <w:tabs>
          <w:tab w:val="clear" w:pos="708"/>
          <w:tab w:val="left" w:pos="567" w:leader="none"/>
        </w:tabs>
        <w:ind w:left="0" w:hanging="0"/>
        <w:jc w:val="both"/>
        <w:rPr>
          <w:lang w:eastAsia="en-US"/>
        </w:rPr>
      </w:pPr>
      <w:r>
        <w:rPr>
          <w:lang w:eastAsia="en-US"/>
        </w:rPr>
        <w:t>Оферта между Банком и клиентом – юридическим лицом – некредитной организацией, индивидуальным предпринимателем.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7" w:leader="none"/>
        </w:tabs>
        <w:spacing w:before="120" w:after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АДРЕСА, РЕКВИЗИТЫ И ПОДПИСИ СТОРОН</w:t>
      </w:r>
    </w:p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p>
      <w:pPr>
        <w:pStyle w:val="Normal"/>
        <w:rPr>
          <w:vanish/>
        </w:rPr>
      </w:pPr>
      <w:r>
        <w:rPr>
          <w:vanish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579"/>
        <w:gridCol w:w="4774"/>
      </w:tblGrid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Банк: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«Газпромбанк» (Акционерное общество)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местонахождения: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117420, г. Москва, ул. Наметкина,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 16, корпус 1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Корреспондентский счет: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к/с: 30101810200000000823 в 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ГУ Банка России по ЦФО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ОГРН1027700167110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БИК 044525823 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ИНН/КПП 7744001497/772801001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Заказчик:</w:t>
            </w:r>
          </w:p>
          <w:p>
            <w:pPr>
              <w:pStyle w:val="BodyTextIndent3"/>
              <w:widowControl w:val="false"/>
              <w:ind w:left="-82" w:right="-625" w:hanging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snapToGrid w:val="false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snapToGrid w:val="false"/>
              <w:jc w:val="both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___________________/</w:t>
            </w:r>
            <w:r>
              <w:rPr>
                <w:b/>
              </w:rPr>
              <w:t xml:space="preserve"> ______________</w:t>
            </w:r>
            <w:r>
              <w:rPr>
                <w:lang w:eastAsia="en-US"/>
              </w:rPr>
              <w:t xml:space="preserve"> /</w:t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   / </w:t>
            </w:r>
            <w:r>
              <w:rPr>
                <w:rFonts w:eastAsia="Times New Roman"/>
                <w:b/>
                <w:color w:val="000000"/>
                <w:lang w:eastAsia="ru-RU"/>
              </w:rPr>
              <w:t>_____________</w:t>
            </w:r>
            <w:r>
              <w:rPr>
                <w:b/>
                <w:lang w:eastAsia="en-US"/>
              </w:rPr>
              <w:t xml:space="preserve"> /</w:t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М.П.</w:t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М.П.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tabs>
          <w:tab w:val="clear" w:pos="708"/>
          <w:tab w:val="left" w:pos="4894" w:leader="none"/>
        </w:tabs>
        <w:spacing w:before="0" w:after="120"/>
        <w:ind w:left="5670" w:hanging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</w:p>
    <w:p>
      <w:pPr>
        <w:pStyle w:val="Normal"/>
        <w:spacing w:before="0" w:after="120"/>
        <w:ind w:left="5670" w:hanging="0"/>
        <w:jc w:val="both"/>
        <w:rPr>
          <w:sz w:val="24"/>
          <w:szCs w:val="24"/>
        </w:rPr>
      </w:pPr>
      <w:r>
        <w:rPr>
          <w:sz w:val="24"/>
          <w:szCs w:val="24"/>
        </w:rPr>
        <w:t>к Договору об оказании услуги банковского сопровождения</w:t>
      </w:r>
    </w:p>
    <w:p>
      <w:pPr>
        <w:pStyle w:val="Normal"/>
        <w:tabs>
          <w:tab w:val="clear" w:pos="708"/>
          <w:tab w:val="left" w:pos="4894" w:leader="none"/>
        </w:tabs>
        <w:spacing w:before="0" w:after="120"/>
        <w:ind w:left="5670" w:hanging="0"/>
        <w:jc w:val="both"/>
        <w:rPr>
          <w:sz w:val="24"/>
          <w:szCs w:val="24"/>
        </w:rPr>
      </w:pPr>
      <w:r>
        <w:rPr>
          <w:sz w:val="24"/>
          <w:szCs w:val="24"/>
        </w:rPr>
        <w:t>от «__» ________ 20__ г. № К963/144-___</w:t>
      </w:r>
    </w:p>
    <w:p>
      <w:pPr>
        <w:pStyle w:val="Normal"/>
        <w:rPr/>
      </w:pPr>
      <w:r>
        <w:rPr/>
      </w:r>
    </w:p>
    <w:tbl>
      <w:tblPr>
        <w:tblStyle w:val="a7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44"/>
      </w:tblGrid>
      <w:tr>
        <w:trPr/>
        <w:tc>
          <w:tcPr>
            <w:tcW w:w="93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ОФЕРТА</w:t>
            </w:r>
            <w:r>
              <w:rPr>
                <w:b/>
                <w:i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Банка ГПБ (АО)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 xml:space="preserve">на заключение дополнительного соглашения к договору банковского счета между Банком ГПБ (АО) и клиентом – юридическим лицом – некредитной организацией, индивидуальным предпринимателем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-85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-85" w:hanging="0"/>
              <w:jc w:val="left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kern w:val="0"/>
                <w:sz w:val="24"/>
                <w:szCs w:val="24"/>
                <w:lang w:val="ru-RU" w:bidi="ar-SA"/>
              </w:rPr>
              <w:t>Договор об оказании услуги банковского сопровождения / ИСД №: №</w:t>
            </w:r>
            <w:r>
              <w:rPr>
                <w:b/>
                <w:i/>
                <w:kern w:val="0"/>
                <w:sz w:val="24"/>
                <w:szCs w:val="24"/>
                <w:lang w:val="ru-RU" w:bidi="ar-SA"/>
              </w:rPr>
              <w:t xml:space="preserve"> К963/144-___ от «___»__________20__ г. /ИСД №_____________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-85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-85" w:hanging="0"/>
              <w:jc w:val="both"/>
              <w:rPr>
                <w:b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«Газпромбанк» (Акционерное общество) (далее – Банк) предлагает Клиенту подписать Акцепт оферты, оформленное настоящей Офертой, составленной по форме Банка, размещенной на сайте Банка по адресу: </w:t>
            </w:r>
            <w:r>
              <w:rPr>
                <w:kern w:val="0"/>
                <w:sz w:val="24"/>
                <w:szCs w:val="24"/>
                <w:lang w:val="en-US" w:bidi="ar-SA"/>
              </w:rPr>
              <w:t>www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gazprombank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ru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(далее – Дополнительное соглашение), о нижеследующем: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592" w:leader="none"/>
              </w:tabs>
              <w:suppressAutoHyphens w:val="true"/>
              <w:spacing w:before="120" w:after="12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Термины и определения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Акцепт оферты (Акцепт)</w:t>
            </w:r>
            <w:r>
              <w:rPr>
                <w:lang w:val="ru-RU" w:bidi="ar-SA"/>
              </w:rPr>
              <w:t xml:space="preserve"> – согласие Клиента с условиями настоящей Оферты, составленное по форме Банка, размещенной на интернет-сайте Банка по адресу: www.</w:t>
            </w:r>
            <w:r>
              <w:rPr>
                <w:lang w:val="en-US" w:bidi="ar-SA"/>
              </w:rPr>
              <w:t>g</w:t>
            </w:r>
            <w:r>
              <w:rPr>
                <w:lang w:val="ru-RU" w:bidi="ar-SA"/>
              </w:rPr>
              <w:t>azprombank.ru.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bCs/>
                <w:lang w:val="ru-RU" w:bidi="ar-SA"/>
              </w:rPr>
              <w:t>Банковское сопровождение</w:t>
            </w:r>
            <w:r>
              <w:rPr>
                <w:bCs/>
                <w:lang w:val="ru-RU" w:bidi="ar-SA"/>
              </w:rPr>
              <w:t xml:space="preserve"> –</w:t>
            </w:r>
            <w:r>
              <w:rPr>
                <w:b/>
                <w:bCs/>
                <w:lang w:val="ru-RU" w:bidi="ar-SA"/>
              </w:rPr>
              <w:t xml:space="preserve"> </w:t>
            </w:r>
            <w:r>
              <w:rPr>
                <w:lang w:val="ru-RU" w:bidi="ar-SA"/>
              </w:rPr>
              <w:t>предоставление Банком комплекса услуг по обеспечению Контроля за целевым расходованием денежных средств в рамках исполнения Сопровождаемого контракта (договора, проекта) с использованием Отдельных счетов, в том числе мониторинг расчетов и контроль за исполнением Распоряжений на перевод в соответствии с режимом работы Отдельных счетов, доведение результатов до Заказчика, а также иные услуги, указанные в Договоре.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Договор счета</w:t>
            </w:r>
            <w:r>
              <w:rPr>
                <w:lang w:val="ru-RU" w:bidi="ar-SA"/>
              </w:rPr>
              <w:t xml:space="preserve"> – договор банковского счета, заключенный между Банком и Клиентом, реквизиты которого (номер и дата).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Дополнительное соглашение</w:t>
            </w:r>
            <w:r>
              <w:rPr>
                <w:lang w:val="ru-RU" w:bidi="ar-SA"/>
              </w:rPr>
              <w:t xml:space="preserve"> – дополнительное соглашение к Договору счета, устанавливающее режим Отдельного счета и заключаемое в виде акцепта оферты Клиентом.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Заказчик</w:t>
            </w:r>
            <w:r>
              <w:rPr>
                <w:b/>
                <w:i/>
                <w:lang w:val="ru-RU" w:bidi="ar-SA"/>
              </w:rPr>
              <w:t xml:space="preserve"> – </w:t>
            </w:r>
            <w:r>
              <w:rPr>
                <w:bCs/>
                <w:lang w:val="ru-RU" w:bidi="ar-SA"/>
              </w:rPr>
              <w:t>_________________, ИНН ______________</w:t>
            </w:r>
            <w:r>
              <w:rPr>
                <w:lang w:val="ru-RU" w:bidi="ar-SA"/>
              </w:rPr>
              <w:t>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Заявка на банковское сопровождение</w:t>
            </w:r>
            <w:r>
              <w:rPr>
                <w:lang w:val="ru-RU" w:bidi="ar-SA"/>
              </w:rPr>
              <w:t xml:space="preserve"> – заявка, направляемая Заказчиком в Банк и содержащая Параметры банковского сопровождения, определяющие условия Банковского сопровождения Сопровождаемого контракта (договора, проекта).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Заявка на перевод</w:t>
            </w:r>
            <w:r>
              <w:rPr>
                <w:lang w:val="ru-RU" w:bidi="ar-SA"/>
              </w:rPr>
              <w:t xml:space="preserve"> – Распоряжение на перевод Клиента, по которому Банком не принято решение о согласовании или не согласовании по результатам рассмотрения Обосновывающих документов.</w:t>
            </w:r>
          </w:p>
          <w:p>
            <w:pPr>
              <w:pStyle w:val="Normal"/>
              <w:widowControl w:val="false"/>
              <w:numPr>
                <w:ilvl w:val="1"/>
                <w:numId w:val="12"/>
              </w:numPr>
              <w:suppressAutoHyphens w:val="true"/>
              <w:spacing w:before="0" w:after="0"/>
              <w:ind w:left="0" w:right="0" w:firstLine="22"/>
              <w:jc w:val="both"/>
              <w:textAlignment w:val="baseline"/>
              <w:rPr>
                <w:kern w:val="0"/>
                <w:lang w:val="ru-RU" w:bidi="ar-SA"/>
              </w:rPr>
            </w:pPr>
            <w:r>
              <w:rPr>
                <w:rFonts w:eastAsia="Arial Unicode MS"/>
                <w:b/>
                <w:bCs/>
                <w:kern w:val="2"/>
                <w:sz w:val="24"/>
                <w:szCs w:val="24"/>
                <w:lang w:val="ru-RU" w:eastAsia="en-US" w:bidi="ar-SA"/>
              </w:rPr>
              <w:t>Исполнитель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zh-CN" w:bidi="ar-SA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Arial Unicode MS"/>
                <w:bCs/>
                <w:kern w:val="2"/>
                <w:sz w:val="24"/>
                <w:szCs w:val="24"/>
                <w:lang w:val="ru-RU" w:eastAsia="en-US" w:bidi="ar-SA"/>
              </w:rPr>
              <w:t>юридическое лицо (индивидуальный предприниматель), физическое лицо, занимающееся в установленном законодательством Российской Федерации порядке частной практикой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>, привлекаемые к исполнению/реализации Сопровождаемого контракта, указанные в Приложении к Оферте.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bCs/>
                <w:lang w:val="ru-RU" w:bidi="ar-SA"/>
              </w:rPr>
              <w:t>Контроль за целевым расходованием денежных средств</w:t>
            </w:r>
            <w:r>
              <w:rPr>
                <w:bCs/>
                <w:lang w:val="ru-RU" w:bidi="ar-SA"/>
              </w:rPr>
              <w:t xml:space="preserve"> –</w:t>
            </w:r>
            <w:r>
              <w:rPr>
                <w:b/>
                <w:bCs/>
                <w:lang w:val="ru-RU" w:bidi="ar-SA"/>
              </w:rPr>
              <w:t xml:space="preserve"> </w:t>
            </w:r>
            <w:r>
              <w:rPr>
                <w:lang w:val="ru-RU" w:bidi="ar-SA"/>
              </w:rPr>
              <w:t>осуществляемая Банком в соответствии с настоящей Офертой процедура проверки предоставляемых Клиентом Обосновывающих документов и Распоряжений на перевод условиям Сопровождаемого контракта.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 xml:space="preserve">Личный кабинет </w:t>
            </w:r>
            <w:r>
              <w:rPr>
                <w:lang w:val="ru-RU" w:bidi="ar-SA"/>
              </w:rPr>
              <w:t>– специализированный раздел на портале по адресу: bs.</w:t>
            </w:r>
            <w:r>
              <w:rPr>
                <w:lang w:val="en-US" w:bidi="ar-SA"/>
              </w:rPr>
              <w:t>gazprombank</w:t>
            </w:r>
            <w:r>
              <w:rPr>
                <w:lang w:val="ru-RU" w:bidi="ar-SA"/>
              </w:rPr>
              <w:t>.</w:t>
            </w:r>
            <w:r>
              <w:rPr>
                <w:lang w:val="en-US" w:bidi="ar-SA"/>
              </w:rPr>
              <w:t>ru</w:t>
            </w:r>
            <w:r>
              <w:rPr>
                <w:lang w:val="ru-RU" w:bidi="ar-SA"/>
              </w:rPr>
              <w:t>, доступный Клиенту при использовании логина и пароля, предоставленного Банком, для формирования и передачи в Банк Обосновывающих документов.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Обосновывающие документы</w:t>
            </w:r>
            <w:r>
              <w:rPr>
                <w:lang w:val="ru-RU" w:bidi="ar-SA"/>
              </w:rPr>
              <w:t xml:space="preserve"> – договоры (контракты), счета (либо заменяющие их документы), акты приемки имущества/выполненных работ, акты приемки в эксплуатацию, накладные и/или другие документы (в том числе расчеты-обоснования, пояснения, справки и отчеты), составленные по формам, не противоречащим законодательству Российской Федерации и подтверждающие факт установления гражданских прав и обязанностей и факт выполнения работ/услуг, связанных с исполнением Сопровождаемого контракта (договора, проекта).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bCs/>
                <w:lang w:val="ru-RU" w:bidi="ar-SA"/>
              </w:rPr>
              <w:t xml:space="preserve">Отдельный счет (Отдельный банковский счет, ОБС) – </w:t>
            </w:r>
            <w:r>
              <w:rPr>
                <w:lang w:val="ru-RU" w:bidi="ar-SA"/>
              </w:rPr>
              <w:t>банковский счет, открытый в Банке Клиенту для проведения операций при исполнении Сопровождаемого контракта (договора, проекта).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Распоряжение на перевод</w:t>
            </w:r>
            <w:r>
              <w:rPr>
                <w:lang w:val="ru-RU" w:bidi="ar-SA"/>
              </w:rPr>
              <w:t xml:space="preserve"> – платежное поручение или иной расчетный (платежный) документ, форма которого определена Положением Банка России от 29.06.2021 № 762-П «О правилах осуществления перевода денежных средств».</w:t>
            </w:r>
          </w:p>
          <w:p>
            <w:pPr>
              <w:pStyle w:val="Normal"/>
              <w:widowControl w:val="false"/>
              <w:numPr>
                <w:ilvl w:val="1"/>
                <w:numId w:val="12"/>
              </w:numPr>
              <w:suppressAutoHyphens w:val="true"/>
              <w:spacing w:before="0" w:after="0"/>
              <w:ind w:left="0" w:right="0" w:firstLine="22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Сайт Банка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– официальный сайте Банка в сети Интернет по адресу: </w:t>
            </w:r>
            <w:hyperlink r:id="rId4">
              <w:r>
                <w:rPr>
                  <w:rStyle w:val="-"/>
                  <w:kern w:val="0"/>
                  <w:lang w:val="en-US" w:bidi="ar-SA"/>
                </w:rPr>
                <w:t>www</w:t>
              </w:r>
              <w:r>
                <w:rPr>
                  <w:rStyle w:val="-"/>
                  <w:kern w:val="0"/>
                  <w:lang w:val="ru-RU" w:bidi="ar-SA"/>
                </w:rPr>
                <w:t>.</w:t>
              </w:r>
              <w:r>
                <w:rPr>
                  <w:rStyle w:val="-"/>
                  <w:kern w:val="0"/>
                  <w:lang w:val="en-US" w:bidi="ar-SA"/>
                </w:rPr>
                <w:t>gazprombank</w:t>
              </w:r>
              <w:r>
                <w:rPr>
                  <w:rStyle w:val="-"/>
                  <w:kern w:val="0"/>
                  <w:lang w:val="ru-RU" w:bidi="ar-SA"/>
                </w:rPr>
                <w:t>.</w:t>
              </w:r>
              <w:r>
                <w:rPr>
                  <w:rStyle w:val="-"/>
                  <w:kern w:val="0"/>
                  <w:lang w:val="en-US" w:bidi="ar-SA"/>
                </w:rPr>
                <w:t>ru</w:t>
              </w:r>
            </w:hyperlink>
            <w:r>
              <w:rPr>
                <w:rStyle w:val="-"/>
                <w:kern w:val="0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numPr>
                <w:ilvl w:val="1"/>
                <w:numId w:val="12"/>
              </w:numPr>
              <w:suppressAutoHyphens w:val="true"/>
              <w:spacing w:before="0" w:after="0"/>
              <w:ind w:left="25" w:right="0" w:hanging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eastAsia="Arial Unicode MS"/>
                <w:b/>
                <w:kern w:val="2"/>
                <w:sz w:val="24"/>
                <w:szCs w:val="24"/>
                <w:lang w:val="ru-RU" w:eastAsia="zh-CN" w:bidi="ar-SA"/>
              </w:rPr>
              <w:t>Сопровождаемый контракт</w:t>
            </w:r>
            <w:r>
              <w:rPr>
                <w:b/>
                <w:kern w:val="0"/>
                <w:lang w:val="ru-RU" w:bidi="ar-SA"/>
              </w:rPr>
              <w:t xml:space="preserve"> 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 xml:space="preserve">– </w:t>
            </w:r>
            <w:bookmarkStart w:id="0" w:name="_Hlk67067632"/>
            <w:r>
              <w:rPr>
                <w:bCs/>
                <w:kern w:val="0"/>
                <w:sz w:val="24"/>
                <w:szCs w:val="24"/>
                <w:lang w:val="ru-RU" w:bidi="ar-SA"/>
              </w:rPr>
              <w:t>____________________________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>.</w:t>
            </w:r>
            <w:bookmarkEnd w:id="0"/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iCs/>
                <w:kern w:val="0"/>
                <w:sz w:val="24"/>
                <w:szCs w:val="24"/>
                <w:lang w:val="ru-RU" w:bidi="ar-SA"/>
              </w:rPr>
              <w:t xml:space="preserve">Идентификационный код закупки: </w:t>
            </w:r>
            <w:r>
              <w:rPr>
                <w:kern w:val="0"/>
                <w:sz w:val="24"/>
                <w:szCs w:val="24"/>
                <w:lang w:val="ru-RU" w:bidi="ar-SA"/>
              </w:rPr>
              <w:t>______________________</w:t>
            </w:r>
            <w:r>
              <w:rPr>
                <w:rFonts w:eastAsia="Arial Unicode MS"/>
                <w:kern w:val="2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hanging="0"/>
              <w:jc w:val="both"/>
              <w:rPr>
                <w:lang w:val="ru-RU" w:bidi="ar-SA"/>
              </w:rPr>
            </w:pPr>
            <w:r>
              <w:rPr>
                <w:b/>
                <w:lang w:val="ru-RU" w:bidi="ar-SA"/>
              </w:rPr>
              <w:t>СДБО</w:t>
            </w:r>
            <w:r>
              <w:rPr>
                <w:b/>
                <w:bCs/>
                <w:lang w:val="ru-RU" w:bidi="ar-SA"/>
              </w:rPr>
              <w:t xml:space="preserve"> «Клиент-Банк.WEB</w:t>
            </w:r>
            <w:r>
              <w:rPr>
                <w:b/>
                <w:lang w:val="ru-RU" w:bidi="ar-SA"/>
              </w:rPr>
              <w:t xml:space="preserve">» </w:t>
            </w:r>
            <w:r>
              <w:rPr>
                <w:lang w:val="ru-RU" w:bidi="ar-SA"/>
              </w:rPr>
              <w:t>–</w:t>
            </w:r>
            <w:r>
              <w:rPr>
                <w:b/>
                <w:lang w:val="ru-RU" w:bidi="ar-SA"/>
              </w:rPr>
              <w:t xml:space="preserve"> </w:t>
            </w:r>
            <w:r>
              <w:rPr>
                <w:lang w:val="ru-RU" w:bidi="ar-SA"/>
              </w:rPr>
              <w:t>корпоративная информационная система, предназначенная для обмена электронными документами между Исполнителем и Банком как через коммутируемый канал связи, так и через сеть Интернет, использование которой согласовано сторонами в соглашении об электронном документообороте.</w:t>
            </w:r>
          </w:p>
          <w:p>
            <w:pPr>
              <w:pStyle w:val="Standard"/>
              <w:widowControl w:val="false"/>
              <w:numPr>
                <w:ilvl w:val="1"/>
                <w:numId w:val="12"/>
              </w:numPr>
              <w:spacing w:before="0" w:after="0"/>
              <w:ind w:left="0" w:right="0" w:firstLine="22"/>
              <w:jc w:val="both"/>
              <w:rPr>
                <w:lang w:val="ru-RU" w:bidi="ar-SA"/>
              </w:rPr>
            </w:pPr>
            <w:r>
              <w:rPr>
                <w:b/>
                <w:bCs/>
                <w:lang w:val="ru-RU" w:bidi="ar-SA"/>
              </w:rPr>
              <w:t>Система «ГПБ Бизнес-Онлайн»</w:t>
            </w:r>
            <w:r>
              <w:rPr>
                <w:bCs/>
                <w:lang w:val="ru-RU" w:bidi="ar-SA"/>
              </w:rPr>
              <w:t xml:space="preserve"> – </w:t>
            </w:r>
            <w:r>
              <w:rPr>
                <w:lang w:val="ru-RU" w:bidi="ar-SA"/>
              </w:rPr>
              <w:t>корпоративная информационная система, владельцем и оператором которой является Банк, обеспечивающая электронный документооборот между Клиентом и Банком, доступ к которой осуществляется по адресу https://gbo.gazprombank.ru. Порядок и условия использования Системы «ГПБ Бизнес-Онлайн», в том числе порядок подписания и направления документов, определяются Соглашением об использовании системы электронного документооборота «ГПБ Бизнес Онлайн», заключенным между Клиентом и Банком.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592" w:leader="none"/>
              </w:tabs>
              <w:suppressAutoHyphens w:val="true"/>
              <w:spacing w:before="120" w:after="12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Общие положения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Стороны соглашаются, что банковский счет, являющийся Отдельным банковским счетом, носит целевой характер и предназначен исключительно для целей надлежащего исполнения обязательств по Сопровождаемому договору и/или договорам, заключенными в целях реализации Сопровождаемого договора.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Акцепт оферты производится путем акцепта настоящей Оферты без каких-либо изъятий и оговорок в порядке, установленном настоящей Офертой, и считается заключенным с момента приема Банком Акцепта.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Акцепт оферты предоставляется в отношении конкретного банковского счета, открытого в Банке.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 xml:space="preserve">Акцепт подписывается собственноручной подписью уполномоченного лица и заверяется оттиском печати Клиента (при наличии) в случае направления на бумажном носителе. При наличии технической возможности у Банка и наличии заключенного с Банком соглашения об использовании Системы «ГПБ Бизнес-Онлайн» Акцепт может быть направлен Клиентом в Банк с использованием Системы </w:t>
            </w:r>
            <w:r>
              <w:rPr>
                <w:bCs/>
                <w:lang w:val="ru-RU" w:bidi="ar-SA"/>
              </w:rPr>
              <w:t>«ГПБ Бизнес-Онлайн».</w:t>
            </w:r>
            <w:r>
              <w:rPr>
                <w:lang w:val="ru-RU" w:bidi="ar-SA"/>
              </w:rPr>
              <w:t xml:space="preserve"> </w:t>
            </w:r>
            <w:r>
              <w:rPr>
                <w:rFonts w:eastAsia="Calibri"/>
                <w:color w:val="000000"/>
                <w:lang w:val="ru-RU" w:eastAsia="en-US" w:bidi="ar-SA"/>
              </w:rPr>
              <w:t xml:space="preserve">В этом случае Акцепт должен быть </w:t>
            </w:r>
            <w:r>
              <w:rPr>
                <w:lang w:val="ru-RU" w:bidi="ar-SA"/>
              </w:rPr>
              <w:t>подписан электронной подписью уполномоченного лица Клиента и направлен в Банк в соответствии с условиями соглашения об использовании Системы «ГПБ Бизнес-Онлайн».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Банк имеет право в одностороннем порядке изменить текст Оферты. Изменение текста Оферты не отменяет соглашения, заключенные между Банком и Клиентом путем обмена Офертой и Акцептом, действующие до даты внесения Банком изменений в текст Оферты. Информация об изменениях Оферты доводится до сведения Клиента путем размещения соответствующей информации с полным текстом изменений на Сайте Банка и в Личном кабинете не менее чем за 3 (Три) рабочих дня до даты вступления в силу указанных изменений. Клиент с целью обеспечения гарантированного получения сведений о планируемых изменениях Оферты самостоятельно либо через своих уполномоченных представителей обязан ежедневно обращаться на Сайт Банка и в Личный кабинет для получения сведений о планируемых изменениях Оферты. Дополнительное соглашение, заключенное путем обмена Оферты и Акцепта, считаются измененным с даты вступления соответствующих изменений в действие.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Стороны соглашаются, что если какие-либо положения Оферты, не будут полностью или частично соответствовать законодательству Российской Федерации, нормативным документам Банка России, то стороны будут руководствоваться исключительно законодательством Российской Федерации, нормативными актами Банка России.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Дополнительное соглашение, заключенное на основании Акцепта оферты, считается заключенным на неопределенный срок и действует до даты его расторжения.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Дополнительное соглашение, заключенное на основании Акцепта оферты, может быть расторгнут, при условии подтверждения Заказчиком исполнения Исполнителем своих обязательств по Сопровождаемому контракту (договору, проекту) и/или контрактам, заключенным в целях исполнения Сопровождаемого контракта (договора, проекта), путем направления в Банк уведомления от Клиента в свободной форме (письма) содержащего информацию об исполнении Клиентом своих обязательств с приложением согласия Заказчика на снятие режима Отдельного счета.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Дополнительное соглашение, заключенное на основании Акцепта оферты, считается расторгнутым с момента получения Клиентом через СДБО «Клиент-Банк.WEB» или Систему «ГПБ Бизнес-Онлайн» уведомления от Банка о положительном результате рассмотрения уведомления об исполнении Клиентом своих обязательств.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Банк принимает решение о положительном рассмотрении уведомления при одновременном соблюдении Клиентом следующих условий: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08"/>
                <w:tab w:val="left" w:pos="742" w:leader="none"/>
              </w:tabs>
              <w:suppressAutoHyphens w:val="true"/>
              <w:spacing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исполнение Клиентом всех обязательств по Сопровождаемому договору;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08"/>
                <w:tab w:val="left" w:pos="742" w:leader="none"/>
              </w:tabs>
              <w:suppressAutoHyphens w:val="true"/>
              <w:spacing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завершение Клиентом всех расчетов с контрагентами, привлекаемыми им для целей исполнения Сопровождаемого договора, с приложением соответствующих Обосновывающих документов;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08"/>
                <w:tab w:val="left" w:pos="742" w:leader="none"/>
              </w:tabs>
              <w:suppressAutoHyphens w:val="true"/>
              <w:spacing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получение Банком информации от Заказчика (для Исполнителя, являющегося заказчиком – от Заказчика по Сопровождаемому контракту) о завершении расчетов, осуществляемых в рамках Сопровождаемого договора и договоров, заключаемых в рамках исполнения Сопровождаемого договора и согласие на снятие режима Отдельного счета.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Банк осуществляет экспертизу Заявки на перевод на основании Обосновывающих документов Клиента.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Клиент соглашается, что Параметры банковского сопровождения указываются Банком в Приложении к настоящей Оферте.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Клиент поручает Банку осуществлять Контроль целевого расходования денежных средств по Отдельному счету в соответствии с Параметрами банковского сопровождения, установленными в настоящей Оферте.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Клиент соглашается, что по Отдельному счету могут осуществляться только операции, осуществляемые для целей исполнения Сопровождаемого контракта (договора, проекта).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Стороны соглашаются, что Банк не уплачивает Клиенту проценты на остаток денежных средств, находящийся на Отдельных счетах, не заключает договоры банковского вклада.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 xml:space="preserve">По Отдельному счету не допускается </w:t>
            </w:r>
            <w:r>
              <w:rPr>
                <w:bCs/>
                <w:lang w:val="ru-RU" w:bidi="ar-SA"/>
              </w:rPr>
              <w:t>размещение временно свободных денежных средств в форме минимального неснижаемого остатка.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Стороны соглашаются, что режим Отдельного счета допускает расходование денежных средств на уплату комиссионного вознаграждения Банку в соответствии с Тарифами Банка, погашение кредитов, привлекаемых Клиентом согласно отношениям, связанным с исполнением Сопровождаемого контракта (договора, проекта), включая оплату процентов по таким кредитам (без штрафов, пени и неустоек), расходов, связанных с выдачей банковских гарантий (без штрафов, пени и неустоек) и/или приобретением страхового полиса, если выдача банковской гарантии (страхового полиса) предусмотрена условиями договоров, заключаемых Клиентом согласно отношениям, связанным с исполнением Сопровождаемого контракта.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Банк не несет ответственности за действия и/или бездействие Клиента, связанные с проведением Клиентом расчетов во исполнение Сопровождаемого договора без использования Отдельного счета.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Банк вправе запрашивать у Клиента иные документы и информацию, необходимые для осуществления Контроля за целевым расходованием денежных средств.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Клиент выражает согласие на предоставление Банком информации по Отдельному счету Клиента, составляющей банковскую тайну Клиента, включая результаты Контроля за целевым расходованием денежных средств и Обосновывающие документы Заказчику и уполномочивает Банк предоставлять Заказчику указанную информацию.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eastAsia="ru-RU"/>
              </w:rPr>
            </w:pPr>
            <w:r>
              <w:rPr>
                <w:lang w:val="ru-RU" w:bidi="ar-SA"/>
              </w:rPr>
              <w:t>Банк о</w:t>
            </w:r>
            <w:r>
              <w:rPr>
                <w:lang w:val="ru-RU" w:eastAsia="ru-RU" w:bidi="ar-SA"/>
              </w:rPr>
              <w:t>бязан: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Осуществлять Контроль целевого расходования денежных средств по Сопровождаемому контракту/договорам, заключенным в целях исполнения Сопровождаемого контракта в порядке, установленном настоящей Офертой.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Отказывать Клиенту в приеме Заявок на перевод в случаях, установленных договором банковского счета и Офертой.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Осуществлять контроль за соблюдением Клиентом Параметров банковского сопровождения.</w:t>
            </w:r>
          </w:p>
          <w:p>
            <w:pPr>
              <w:pStyle w:val="ListParagraph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33" w:right="0" w:firstLine="11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Исполнять иные обязанности, установленные настоящей Офертой.</w:t>
            </w:r>
          </w:p>
          <w:p>
            <w:pPr>
              <w:pStyle w:val="Standard"/>
              <w:widowControl w:val="false"/>
              <w:numPr>
                <w:ilvl w:val="1"/>
                <w:numId w:val="16"/>
              </w:numPr>
              <w:tabs>
                <w:tab w:val="clear" w:pos="708"/>
                <w:tab w:val="left" w:pos="731" w:leader="none"/>
              </w:tabs>
              <w:spacing w:before="0" w:after="0"/>
              <w:ind w:left="22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 xml:space="preserve">Клиент </w:t>
            </w:r>
            <w:r>
              <w:rPr>
                <w:lang w:val="ru-RU" w:eastAsia="ru-RU" w:bidi="ar-SA"/>
              </w:rPr>
              <w:t>обязан</w:t>
            </w:r>
            <w:r>
              <w:rPr>
                <w:lang w:val="ru-RU" w:bidi="ar-SA"/>
              </w:rPr>
              <w:t>: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Заключить с Банком соглашение о предоставлении услуг электронного документооборота (СДБО «Клиент-Банк.WEB»), если такое соглашение не заключено Сторонами.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Требовать от Исполнителей, являющихся контрагентами Клиента в рамках отношений, связанных с реализацией Сопровождаемого контракта (договора, проекта), открывать Отдельные банковские счета в Банке для осуществления расчетов, связанных с реализацией Сопровождаемого контракта (договора, проекта).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Указывать в предмете договоров (или его неотъемлемой части), заключаемых во исполнение Сопровождаемого контракта с Клиентом, ссылку на Сопровождаемый договор.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Соблюдать условия Параметров банковского сопровождения.</w:t>
            </w:r>
          </w:p>
          <w:p>
            <w:pPr>
              <w:pStyle w:val="1"/>
              <w:widowControl w:val="false"/>
              <w:numPr>
                <w:ilvl w:val="2"/>
                <w:numId w:val="16"/>
              </w:numPr>
              <w:tabs>
                <w:tab w:val="clear" w:pos="708"/>
                <w:tab w:val="left" w:pos="884" w:leader="none"/>
              </w:tabs>
              <w:suppressAutoHyphens w:val="true"/>
              <w:spacing w:lineRule="auto" w:line="240" w:before="0" w:after="0"/>
              <w:ind w:left="0" w:right="0" w:firstLine="22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Исполнять иные обязанности, установленные настоящей Офертой.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tabs>
                <w:tab w:val="clear" w:pos="708"/>
                <w:tab w:val="left" w:pos="567" w:leader="none"/>
              </w:tabs>
              <w:suppressAutoHyphens w:val="true"/>
              <w:spacing w:before="120" w:after="120"/>
              <w:ind w:left="33" w:right="0" w:hanging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Порядок приема Заявки на перевод и контроля Обосновывающих документов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Заявки на перевод представляются в Банк с использованием СДБО «Клиент-Банк.WEB». В целях исключения различного толкования под датой получения Банком Обосновывающих документов и Заявки на перевод понимается дата, в которую Банком получен полный комплект документов для проведения процедуры контроля соблюдения Клиентом целевого расходования денежных средств для целей надлежащего исполнения обязательств по Сопровождаемому контракту и/или договорам, заключенным во исполнение Сопровождаемого контракта, который включает Обосновывающие документы и Заявку на перевод.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Обосновывающие документы передаются в Банк в электронном виде (в виде сканированных образов оригиналов документов) через Личный кабинет в дату направления Заявки на перевод.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Ответственность за соответствие копий (сканированных образов) документов оригиналам несет Клиент.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Банк предоставляет Клиенту логин и пароль для доступа к Личному кабинету путем направления соответствующего уведомления посредством СДБО «Клиент-Банк.WEB» или по адресу электронной почты и номеру мобильного телефона указанным в Акцепте оферты.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Банк имеет право запросить у Клиента, и Клиент обязан предоставить Банку пояснения по Заявкам на перевод, дополнительные справки и отчеты, а также подтверждение правомерности отнесения расходов (части расходов) на расходы, осуществляемые в рамках Сопровождаемого контракта. Данное требование распространяется на любые переводы денежных средств по Отдельному счету (включая переводы денежных средств в бюджет Российской Федерации), кроме переводов денежных средств на основании распоряжений взыскателей средств, выставляемых к Отдельному счету в соответствии с законодательством Российской Федерации.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Банк проводит экспертизу Заявки на перевод и Обосновывающих документов на предмет их соответствия условиям, предмету и целям Сопровождаемого контракта или (в зависимости от случая) любого иного договора, заключенного Клиентом, в рамках или для целей исполнения Сопровождаемого контракта, в части объемов и видов работ, а также соответствия Параметрам банковского сопровождения в срок не позднее 3 (трех) рабочих дней с даты их получения от Клиента.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 результатам экспертизы Заявки на перевод и Обосновывающих документов, представленных Клиентом, Банк:</w:t>
            </w:r>
          </w:p>
          <w:p>
            <w:pPr>
              <w:pStyle w:val="ListParagraph"/>
              <w:widowControl w:val="false"/>
              <w:numPr>
                <w:ilvl w:val="2"/>
                <w:numId w:val="14"/>
              </w:numPr>
              <w:tabs>
                <w:tab w:val="clear" w:pos="708"/>
                <w:tab w:val="left" w:pos="742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Согласовывает (акцептует) Заявку на перевод Клиента – при отсутствии замечаний к Заявке на перевод и Обосновывающим документам и принимает Распоряжение на перевод денежных средств к исполнению.</w:t>
            </w:r>
          </w:p>
          <w:p>
            <w:pPr>
              <w:pStyle w:val="ListParagraph"/>
              <w:widowControl w:val="false"/>
              <w:numPr>
                <w:ilvl w:val="2"/>
                <w:numId w:val="14"/>
              </w:numPr>
              <w:tabs>
                <w:tab w:val="clear" w:pos="708"/>
                <w:tab w:val="left" w:pos="742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согласовывает (не акцептует) Заявку на перевод при наличии замечаний к Заявке на перевод и/или Обосновывающим документам и отказывает Клиенту в приеме Распоряжения на перевод к исполнению с указанием причины несогласования.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Банк отказывает Клиенту в согласовании Заявок на перевод по Отдельному счету в случае отрицательных результатов процедуры контроля Банком соблюдения Клиентом условий целевого расходования денежных средств с Отдельного счета, предусмотренных настоящим Договором.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Отрицательными результатами контроля соблюдения Исполнителем целевого расходования денежных средств являются:</w:t>
            </w:r>
          </w:p>
          <w:p>
            <w:pPr>
              <w:pStyle w:val="Standard"/>
              <w:widowControl w:val="false"/>
              <w:numPr>
                <w:ilvl w:val="2"/>
                <w:numId w:val="14"/>
              </w:numPr>
              <w:tabs>
                <w:tab w:val="clear" w:pos="708"/>
                <w:tab w:val="left" w:pos="884" w:leader="none"/>
              </w:tabs>
              <w:spacing w:before="0" w:after="0"/>
              <w:ind w:left="0" w:right="0" w:hanging="0"/>
              <w:jc w:val="both"/>
              <w:rPr>
                <w:lang w:val="ru-RU" w:bidi="ar-SA"/>
              </w:rPr>
            </w:pPr>
            <w:r>
              <w:rPr>
                <w:lang w:val="ru-RU" w:bidi="ar-SA"/>
              </w:rPr>
              <w:t>Несоответствие Заявки на перевод режиму Отдельного счета.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Банк информирует Клиента о согласовании/несогласовании соответствующих Заявок на перевод не позднее рабочего дня, следующего за днем их получения от Клиента (не считая дату получения), с обоснованием причины несогласования (при наличии несогласованных планируемых переводов), в том числе с указанием непредставленных для согласования документов, с использованием 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СДБО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«Клиент-Банк.WEB».</w:t>
            </w:r>
          </w:p>
          <w:p>
            <w:pPr>
              <w:pStyle w:val="1"/>
              <w:widowControl w:val="false"/>
              <w:numPr>
                <w:ilvl w:val="1"/>
                <w:numId w:val="14"/>
              </w:numPr>
              <w:tabs>
                <w:tab w:val="clear" w:pos="708"/>
                <w:tab w:val="left" w:pos="709" w:leader="none"/>
              </w:tabs>
              <w:suppressAutoHyphens w:val="tru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Стороны соглашаются, что Банк не проводит мероприятия в отношении проверки реального факта поставки товаров (выполнения работ, оказания услуг) при реализации Сопровождаемого контракта (договора, проекта), а также не проводит экспертизу подлинности предоставляемых Обосновывающих документов.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tabs>
                <w:tab w:val="clear" w:pos="708"/>
                <w:tab w:val="left" w:pos="567" w:leader="none"/>
              </w:tabs>
              <w:suppressAutoHyphens w:val="true"/>
              <w:spacing w:before="120" w:after="120"/>
              <w:ind w:left="33" w:right="0" w:hanging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Приложение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tabs>
                <w:tab w:val="clear" w:pos="708"/>
                <w:tab w:val="left" w:pos="706" w:leader="none"/>
              </w:tabs>
              <w:suppressAutoHyphens w:val="true"/>
              <w:spacing w:before="0" w:after="200"/>
              <w:ind w:left="0" w:right="0" w:hanging="0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Приложение. Параметры банковского сопровождения.</w:t>
            </w:r>
          </w:p>
        </w:tc>
      </w:tr>
    </w:tbl>
    <w:p>
      <w:pPr>
        <w:pStyle w:val="VND1"/>
        <w:rPr/>
      </w:pPr>
      <w:r>
        <w:rPr/>
      </w:r>
      <w:r>
        <w:br w:type="page"/>
      </w:r>
    </w:p>
    <w:p>
      <w:pPr>
        <w:pStyle w:val="Normal"/>
        <w:ind w:left="5103" w:hanging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</w:p>
    <w:p>
      <w:pPr>
        <w:pStyle w:val="Normal"/>
        <w:widowControl w:val="false"/>
        <w:spacing w:before="0" w:after="120"/>
        <w:ind w:left="5103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Оферте Банка ГПБ (АО) </w:t>
      </w:r>
      <w:r>
        <w:rPr>
          <w:bCs/>
          <w:sz w:val="24"/>
          <w:szCs w:val="24"/>
        </w:rPr>
        <w:t>к договору банковского счета между Банком ГПБ (АО) и клиентом – юридическим лицом – некредитной организацией, индивидуальным предпринимателем</w:t>
      </w:r>
    </w:p>
    <w:p>
      <w:pPr>
        <w:pStyle w:val="1"/>
        <w:tabs>
          <w:tab w:val="clear" w:pos="708"/>
          <w:tab w:val="left" w:pos="567" w:leader="none"/>
        </w:tabs>
        <w:spacing w:lineRule="auto" w:line="240" w:before="0" w:after="0"/>
        <w:ind w:left="0" w:hanging="0"/>
        <w:contextualSpacing w:val="fals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tabs>
          <w:tab w:val="clear" w:pos="708"/>
          <w:tab w:val="left" w:pos="567" w:leader="none"/>
        </w:tabs>
        <w:spacing w:lineRule="auto" w:line="240" w:before="0" w:after="0"/>
        <w:ind w:left="0" w:hanging="0"/>
        <w:contextualSpacing w:val="fals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ПАРАМЕТРЫ БАНКОВСКОГО СОПРОВОЖДЕНИЯ</w:t>
      </w:r>
    </w:p>
    <w:p>
      <w:pPr>
        <w:pStyle w:val="Normal"/>
        <w:tabs>
          <w:tab w:val="clear" w:pos="708"/>
          <w:tab w:val="left" w:pos="0" w:leader="none"/>
        </w:tabs>
        <w:ind w:firstLine="709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Договор об оказании услуги банковского сопровождения от «__» ______ 20__ года №К963/144-____ /ИСД:№ _____________.</w:t>
      </w:r>
    </w:p>
    <w:p>
      <w:pPr>
        <w:pStyle w:val="Normal"/>
        <w:widowControl w:val="false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en-US"/>
        </w:rPr>
        <w:t>Сопровождаемый контракт:</w:t>
      </w:r>
      <w:r>
        <w:rPr>
          <w:bCs/>
          <w:sz w:val="24"/>
          <w:szCs w:val="24"/>
        </w:rPr>
        <w:t xml:space="preserve"> _________________________________________</w:t>
      </w:r>
      <w:r>
        <w:rPr>
          <w:rFonts w:eastAsia="Arial Unicode MS"/>
          <w:kern w:val="2"/>
          <w:sz w:val="24"/>
          <w:szCs w:val="24"/>
          <w:lang w:eastAsia="en-US"/>
        </w:rPr>
        <w:t>.</w:t>
      </w:r>
    </w:p>
    <w:p>
      <w:pPr>
        <w:pStyle w:val="Normal"/>
        <w:widowControl w:val="false"/>
        <w:rPr>
          <w:b/>
          <w:bCs/>
          <w:sz w:val="24"/>
          <w:szCs w:val="24"/>
        </w:rPr>
      </w:pPr>
      <w:r>
        <w:rPr>
          <w:iCs/>
          <w:sz w:val="24"/>
          <w:szCs w:val="24"/>
        </w:rPr>
        <w:t xml:space="preserve">Идентификационный код закупки: </w:t>
      </w:r>
      <w:r>
        <w:rPr>
          <w:sz w:val="24"/>
          <w:szCs w:val="24"/>
        </w:rPr>
        <w:t>______________________________________.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567" w:leader="none"/>
        </w:tabs>
        <w:spacing w:before="120" w:after="120"/>
        <w:ind w:left="0" w:firstLine="709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ТЕРМИНЫ И ОПРЕДЕЛЕНИЯ</w:t>
      </w:r>
    </w:p>
    <w:p>
      <w:pPr>
        <w:pStyle w:val="Standard"/>
        <w:numPr>
          <w:ilvl w:val="1"/>
          <w:numId w:val="22"/>
        </w:numPr>
        <w:spacing w:before="0" w:after="200"/>
        <w:ind w:left="0" w:firstLine="709"/>
        <w:jc w:val="both"/>
        <w:rPr/>
      </w:pPr>
      <w:r>
        <w:rPr>
          <w:b/>
        </w:rPr>
        <w:t>Заказчик по Сопровождаемому контракту</w:t>
      </w:r>
      <w:r>
        <w:rPr/>
        <w:t xml:space="preserve"> – </w:t>
      </w:r>
      <w:r>
        <w:rPr>
          <w:rFonts w:eastAsia="Calibri"/>
          <w:lang w:eastAsia="en-US"/>
        </w:rPr>
        <w:t>Министерство транспорта и дорожного хозяйства Приморского края (ИНН 2538030581)</w:t>
      </w:r>
      <w:r>
        <w:rPr/>
        <w:t>.</w:t>
      </w:r>
    </w:p>
    <w:p>
      <w:pPr>
        <w:pStyle w:val="Standard"/>
        <w:numPr>
          <w:ilvl w:val="1"/>
          <w:numId w:val="22"/>
        </w:numPr>
        <w:spacing w:before="0" w:after="200"/>
        <w:ind w:left="0" w:firstLine="709"/>
        <w:jc w:val="both"/>
        <w:rPr>
          <w:lang w:eastAsia="en-US"/>
        </w:rPr>
      </w:pPr>
      <w:r>
        <w:rPr>
          <w:b/>
        </w:rPr>
        <w:t xml:space="preserve">Исполнители </w:t>
      </w:r>
      <w:r>
        <w:rPr/>
        <w:t>– Заказчик, подрядчики, поставщики, а также иные лица, привлекаемые для исполнения/реализации Сопровождаемого контракта, выполняющие работы, поставляющие товары, оказывающие услуги на сумму более</w:t>
      </w:r>
      <w:bookmarkStart w:id="1" w:name="_GoBack"/>
      <w:bookmarkEnd w:id="1"/>
      <w:r>
        <w:rPr/>
        <w:t xml:space="preserve"> 500 000 (пятьсот тысяч) рублей (с учетом НДС) в целом по Сопровождаемому контакту, включая расчеты со своими контрагентами, за исключением: </w:t>
      </w:r>
    </w:p>
    <w:p>
      <w:pPr>
        <w:pStyle w:val="ListParagraph"/>
        <w:widowControl w:val="false"/>
        <w:numPr>
          <w:ilvl w:val="0"/>
          <w:numId w:val="17"/>
        </w:numPr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>
          <w:rFonts w:ascii="Times New Roman" w:hAnsi="Times New Roman" w:eastAsia="Arial Unicode MS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>физических лиц, получающих от Исполнителей вознаграждение за выполнение своих обязанностей по трудовым договорам, а также возмещение командировочных и представительских расходов;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арендодателей (лизингодателей) имущества, являющегося их собственностью, используемого Исполнителями исключительно в целях реализации Сопровождаемого контракта;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страховщиков, оказывающих Исполнителям услуги страхования имущественных интересов, связанных с реализацией Сопровождаемого контракта;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кредиторов Исполнителей, требования которых подтверждены выданными документами о принудительном исполнении вступивших в законную силу судебных актов;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государственных и муниципальных органов и учреждений;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налоговых органов;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Социального фонда Российской Федерации, Федерального фонда обязательного медицинского страхования, а также их территориальных органов;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субъектов естественной монополии;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>
          <w:rFonts w:ascii="Times New Roman" w:hAnsi="Times New Roman" w:eastAsia="Arial Unicode MS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>подрядчиков (поставщиков), выполняющих работы (поставляющих товары, оказывающих услуги) на суммы менее 500 000 (пятьсот тысяч) рублей (с учетом НДС) по Сопровождаемому контракту;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лицензированных (сертифицированных) производителей материалов, сырья, конструкций, оборудования, техники, необходимых для реализации Сопровождаемого контракта, предприятий, занимающихся добычей в соответствии с выданной лицензией на разработку месторождений, карьеров, а также официальных дилеров производителей, официальных дистрибьюторов и торговых домов производителей, осуществляющих реализацию материалов, сырья, конструкций, оборудования, техники;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>
          <w:rFonts w:ascii="Times New Roman" w:hAnsi="Times New Roman" w:eastAsia="Arial Unicode MS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>непосредственных поставщиков услуг и товаров, относящихся к накладным расходам: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по проезду и проживанию, а также услуги по организации проезда и проживания работников Исполнителей в служебных командировках, а также при производстве работ вахтовым методом,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по перевозке работников Исполнителей для целей реализации Сопровождаемого контракта,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связи, в том числе обеспечение мобильной связью, мобильным и стационарным доступом в интернет, почтово-телеграфные услуги, в том числе услуги по экспресс-доставке корреспонденции,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по обслуживанию офисной техники и поставке расходных материалов для офисной техники,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по поставке, сопровождению и поверке геодезического, лабораторного оборудования,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по оказанию информационно-аналитического обеспечения (приобретение и обновление программного обеспечения, баз данных, техническая поддержка приобретенного программного обеспечения),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охранные услуги,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(работы) специализированных организаций (лабораторий) по осуществлению контроля качества и проведению испытаний, осуществлению экологического мониторинга,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уборки (клининга), в том числе вывоз бытового мусора и снега,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по охране труда и обеспечению техники безопасности, в том числе по обеспечению спецодеждой,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услуги аудиторов, нотариусов,</w:t>
      </w:r>
    </w:p>
    <w:p>
      <w:pPr>
        <w:pStyle w:val="Normal"/>
        <w:widowControl w:val="false"/>
        <w:numPr>
          <w:ilvl w:val="0"/>
          <w:numId w:val="18"/>
        </w:numPr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поставка топлива, и иных горюче-смазочных материалов,</w:t>
      </w:r>
    </w:p>
    <w:p>
      <w:pPr>
        <w:pStyle w:val="ListParagraph"/>
        <w:widowControl w:val="false"/>
        <w:numPr>
          <w:ilvl w:val="0"/>
          <w:numId w:val="18"/>
        </w:numPr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>
          <w:rFonts w:ascii="Times New Roman" w:hAnsi="Times New Roman" w:eastAsia="Arial Unicode MS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>поставка канцтоваров, питания, питьевой воды, хозяйственных товаров.</w:t>
      </w:r>
    </w:p>
    <w:p>
      <w:pPr>
        <w:pStyle w:val="ListParagraph"/>
        <w:widowControl w:val="false"/>
        <w:numPr>
          <w:ilvl w:val="0"/>
          <w:numId w:val="19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>
          <w:rFonts w:ascii="Times New Roman" w:hAnsi="Times New Roman" w:eastAsia="Arial Unicode MS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>кредитных организаций – при погашении кредитов, предоставленных для выполнения работ, приобретения конструкций, оборудования, техники, необходимых для реализации Сопровождаемого контракта, а также при оплате стоимости банковских гарантий, выданных в связи с выполнением работ при реализации Сопровождаемого контракта;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получателей платежей за оказанные Исполнителям коммунальные услуги, включая электроэнергию, водоснабжение и пр.;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Банка.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567" w:leader="none"/>
        </w:tabs>
        <w:spacing w:before="120" w:after="120"/>
        <w:ind w:left="0" w:firstLine="709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РЕЖИМ ОТДЕЛЬНОГО СЧЕТА</w:t>
      </w:r>
    </w:p>
    <w:p>
      <w:pPr>
        <w:pStyle w:val="Normal"/>
        <w:numPr>
          <w:ilvl w:val="1"/>
          <w:numId w:val="23"/>
        </w:numPr>
        <w:spacing w:before="0" w:after="0"/>
        <w:ind w:left="0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 Отдельному счету могут осуществляться следующие операции: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зачисление безналичных денежных средств без ограничений,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перевод денежных средств на Отдельные счета Исполнителей,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перевод денежных средств на </w:t>
      </w:r>
      <w:r>
        <w:rPr>
          <w:sz w:val="24"/>
          <w:szCs w:val="23"/>
        </w:rPr>
        <w:t xml:space="preserve">банковские счета, </w:t>
      </w:r>
      <w:r>
        <w:rPr>
          <w:sz w:val="24"/>
          <w:szCs w:val="24"/>
        </w:rPr>
        <w:t xml:space="preserve">не являющиеся Отдельными счетами, </w:t>
      </w:r>
      <w:r>
        <w:rPr>
          <w:sz w:val="24"/>
          <w:szCs w:val="23"/>
        </w:rPr>
        <w:t xml:space="preserve">если получатель </w:t>
      </w:r>
      <w:r>
        <w:rPr>
          <w:sz w:val="24"/>
          <w:szCs w:val="24"/>
        </w:rPr>
        <w:t xml:space="preserve">денежных средств </w:t>
      </w:r>
      <w:r>
        <w:rPr>
          <w:sz w:val="24"/>
          <w:szCs w:val="23"/>
        </w:rPr>
        <w:t>не относится к Исполнителям</w:t>
      </w:r>
      <w:r>
        <w:rPr>
          <w:sz w:val="24"/>
          <w:szCs w:val="24"/>
        </w:rPr>
        <w:t>,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перевод денежных средств на банковские счета Клиента, не являющиеся Отдельными счетами, в сумме, не превышающей сумму собственных денежных средств Клиента, зачисленных на Отдельный счет с иных банковских счетов Клиента,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перевод денежных средств в соответствии с распоряжениями взыскателей средств (без ограничений) в случаях, </w:t>
      </w:r>
      <w:r>
        <w:rPr>
          <w:sz w:val="24"/>
          <w:szCs w:val="23"/>
        </w:rPr>
        <w:t>установленных законодательством Российской Федерации</w:t>
      </w:r>
      <w:r>
        <w:rPr>
          <w:sz w:val="24"/>
          <w:szCs w:val="24"/>
        </w:rPr>
        <w:t>, на счета, не являющиеся Отдельными счетами;</w:t>
      </w:r>
    </w:p>
    <w:p>
      <w:pPr>
        <w:pStyle w:val="Normal"/>
        <w:widowControl w:val="false"/>
        <w:numPr>
          <w:ilvl w:val="0"/>
          <w:numId w:val="21"/>
        </w:numPr>
        <w:tabs>
          <w:tab w:val="clear" w:pos="708"/>
          <w:tab w:val="left" w:pos="1418" w:leader="none"/>
        </w:tabs>
        <w:ind w:left="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перевод денежных средств на счета </w:t>
      </w:r>
      <w:r>
        <w:rPr>
          <w:bCs/>
          <w:sz w:val="24"/>
          <w:szCs w:val="24"/>
        </w:rPr>
        <w:t>Заказчика по Сопровождаемому контракту</w:t>
      </w:r>
      <w:r>
        <w:rPr>
          <w:sz w:val="24"/>
          <w:szCs w:val="24"/>
        </w:rPr>
        <w:t>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Стороны соглашаются, что режим Отдельного счета допускает расходование денежных средств на уплату комиссионного вознаграждения Банку в соответствии с тарифами Банка, погашение кредитов, привлекаемых Клиентом согласно отношениям, связанным с реализацией Сопровождаемого контракта, включая оплату процентов по таким кредитам (без штрафов, пени и неустоек), расходов, связанных с выдачей банковских гарантий, возмещением сумм, уплаченных Банком по банковским гарантиям (без штрафов, пени и неустоек) и/или приобретением страхового полиса, если выдача банковской гарантии (страхового полиса) предусмотрена условиями договоров, заключаемых Клиентом согласно отношениям, связанным с реализацией Сопровождаемого контракта. Расходование денежных средств по переводам Клиента в бюджет, государственные внебюджетных фонды, переводам на выплату заработной платы, оплату коммунальных услуг, арендных платежей и иных косвенных расходов допускается в сумме, относящейся к реализации Сопровождаемого контракта.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 счет денежных средств на отдельном счете не допускается покупка иностранной валюты.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 счет денежных средств на отдельном счете не допускается проведение операций с использование аккредитивной формы расчетов.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Банк осуществляет прием Распоряжений на перевод в рабочие дня Банка. Банк устанавливает продолжительность операционного дня (времени) Банка (часть рабочего дня Банка, в течении которого производится прием Распоряжений на перевод Клиента в целях осуществления операций по банковским счетам Клиента с отражением текущей датой) и доводит до сведения Клиента.</w:t>
      </w:r>
    </w:p>
    <w:p>
      <w:pPr>
        <w:pStyle w:val="Standard"/>
        <w:numPr>
          <w:ilvl w:val="1"/>
          <w:numId w:val="23"/>
        </w:numPr>
        <w:tabs>
          <w:tab w:val="clear" w:pos="708"/>
          <w:tab w:val="left" w:pos="709" w:leader="none"/>
        </w:tabs>
        <w:ind w:left="0" w:firstLine="709"/>
        <w:jc w:val="both"/>
        <w:rPr/>
      </w:pPr>
      <w:r>
        <w:rPr>
          <w:lang w:eastAsia="en-US"/>
        </w:rPr>
        <w:t xml:space="preserve">Банк осуществляет зачисление на Отдельный счет Клиента поступивших денежных средств в валюте Российской Федерации не позднее дня, следующего за днем поступления в Банк соответствующего Распоряжения на перевод по двум реквизитам: номеру Отдельного счёта Клиента и идентификационному номеру плательщика (ИНН/КИО) Исполнителя. </w:t>
      </w:r>
    </w:p>
    <w:p>
      <w:pPr>
        <w:pStyle w:val="Standard"/>
        <w:tabs>
          <w:tab w:val="clear" w:pos="708"/>
          <w:tab w:val="left" w:pos="851" w:leader="none"/>
        </w:tabs>
        <w:ind w:firstLine="1418"/>
        <w:jc w:val="both"/>
        <w:rPr>
          <w:lang w:eastAsia="en-US"/>
        </w:rPr>
      </w:pPr>
      <w:r>
        <w:rPr>
          <w:lang w:eastAsia="en-US"/>
        </w:rPr>
        <w:t>При отсутствии в Распоряжении на перевод ИНН/КИО либо при несоответствии номера Отдельного счета Клиента и ИНН/КИО осуществляется дополнительный контроль, и зачисление производится по номеру Отдельного счета Клиента и наименованию Клиента.</w:t>
      </w:r>
    </w:p>
    <w:p>
      <w:pPr>
        <w:pStyle w:val="Standard"/>
        <w:tabs>
          <w:tab w:val="clear" w:pos="708"/>
          <w:tab w:val="left" w:pos="851" w:leader="none"/>
        </w:tabs>
        <w:ind w:firstLine="1418"/>
        <w:jc w:val="both"/>
        <w:rPr>
          <w:lang w:eastAsia="en-US"/>
        </w:rPr>
      </w:pPr>
      <w:r>
        <w:rPr>
          <w:lang w:eastAsia="en-US"/>
        </w:rPr>
        <w:t>Банк осуществляет мероприятия по уточнению реквизитов Распоряжений на перевод на зачисление денежных средств на Отдельный счет Клиента в валюте Российской Федерации в течении 5 (пяти) рабочих дней с даты их получения Банком, не считая день поступления распоряжения в Банк.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rFonts w:eastAsia="Arial Unicode MS"/>
          <w:kern w:val="2"/>
          <w:sz w:val="24"/>
          <w:szCs w:val="24"/>
          <w:lang w:eastAsia="en-US"/>
        </w:rPr>
        <w:t>Банк осуществляет списание денежных средств с Отдельного счета в валюте Российской Федерации по Распоряжениям на перевод в валюте Российской Федерации, принятым операционным днем Банка, в текущем операционном дне Банка и перечисляет их по назначению не позднее следующего рабочего дня.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>В случае, если Сопровождаемым контрактом не предусмотрено предоставление обеспечения его исполнения, Заказчик соглашается и обязуется предоставить безусловное и безотзывное право и дать согласие (заранее данный акцепт) без его дополнительного распоряжения списывать с Отдельного счета, открытого Заказчику, по требованию Заказчика по Сопровождаемому контракту денежные средства в размере полученного и непогашенного Заказчиком аванса в случае расторжения Сопровождаемого контракта до подписания соглашения о расторжении или прекращения у Заказчика членства в саморегулируемой организации, необходимого для исполнения обязательства по Сопровождаемому контракту.</w:t>
      </w:r>
    </w:p>
    <w:p>
      <w:pPr>
        <w:pStyle w:val="Normal"/>
        <w:spacing w:before="0" w:after="0"/>
        <w:ind w:left="709" w:hanging="0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</w:r>
    </w:p>
    <w:p>
      <w:pPr>
        <w:pStyle w:val="Standard"/>
        <w:numPr>
          <w:ilvl w:val="0"/>
          <w:numId w:val="23"/>
        </w:numPr>
        <w:spacing w:before="0" w:after="24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ПОРЯДОК ОКАЗАНИЯ УСЛУГИ</w:t>
      </w:r>
    </w:p>
    <w:p>
      <w:pPr>
        <w:pStyle w:val="Normal"/>
        <w:numPr>
          <w:ilvl w:val="1"/>
          <w:numId w:val="23"/>
        </w:numPr>
        <w:spacing w:before="0" w:after="24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>Стороны соглашаются, что Банк вправе запрашивать Обосновывающие документы, для акцепта Заявки на перевод, предусмотренных п. 2.11 Оферты, при наступлении обстоятельств, изложенных в статье 7 Федерального закона от 07.08.2001 № 115-ФЗ «О 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Normal"/>
        <w:numPr>
          <w:ilvl w:val="1"/>
          <w:numId w:val="23"/>
        </w:numPr>
        <w:spacing w:before="0" w:after="24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 xml:space="preserve">Стороны соглашаются, что Банк не запрашивает Обосновывающие документы, а также не исполняет требования пункта 2.11, 3.6 и 3.7 Оферты, до наступления случаев, указанных в п. 3.1 настоящих Параметров банковского сопровождения. </w:t>
      </w:r>
    </w:p>
    <w:p>
      <w:pPr>
        <w:pStyle w:val="Normal"/>
        <w:numPr>
          <w:ilvl w:val="1"/>
          <w:numId w:val="23"/>
        </w:numPr>
        <w:spacing w:before="0" w:after="24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>Стороны соглашаются, что выплата заработной платы сотрудникам Клиента с Отдельного счета осуществляется только при условии заключения с такими сотрудниками трудовых договоров, а также в рамках лимитов утвержденных сметной документацией к Сопровождаемому контракту.</w:t>
      </w:r>
    </w:p>
    <w:p>
      <w:pPr>
        <w:pStyle w:val="Normal"/>
        <w:numPr>
          <w:ilvl w:val="1"/>
          <w:numId w:val="23"/>
        </w:numPr>
        <w:spacing w:before="0" w:after="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>Банк ежемесячно не позднее 15 числа месяца, следующего за отчетным периодом, предоставляет Заказчику по Сопровождаемому контракту с соблюдением положений законодательства Российской Федерации о банковской тайне отчёт, содержащий:</w:t>
      </w:r>
    </w:p>
    <w:p>
      <w:pPr>
        <w:pStyle w:val="Standard"/>
        <w:numPr>
          <w:ilvl w:val="0"/>
          <w:numId w:val="24"/>
        </w:numPr>
        <w:tabs>
          <w:tab w:val="clear" w:pos="708"/>
          <w:tab w:val="left" w:pos="709" w:leader="none"/>
        </w:tabs>
        <w:spacing w:before="0" w:after="0"/>
        <w:ind w:left="0" w:firstLine="1069"/>
        <w:contextualSpacing/>
        <w:jc w:val="both"/>
        <w:rPr>
          <w:lang w:eastAsia="en-US"/>
        </w:rPr>
      </w:pPr>
      <w:r>
        <w:rPr/>
        <w:t>выписки о движении денежных средств по Отдельному счету за отчетный календарный месяц, оборотно-сальдовой ведомости по Отдельному счету за отчетный календарный месяц, а также информацию о текущих остатках на Отдельном счете на последнее число отчетного</w:t>
      </w:r>
      <w:r>
        <w:rPr>
          <w:rFonts w:eastAsia="Times New Roman"/>
          <w:kern w:val="0"/>
          <w:sz w:val="20"/>
          <w:szCs w:val="20"/>
          <w:lang w:eastAsia="ru-RU"/>
        </w:rPr>
        <w:t xml:space="preserve"> </w:t>
      </w:r>
      <w:r>
        <w:rPr/>
        <w:t>календарного месяца</w:t>
      </w:r>
      <w:r>
        <w:rPr>
          <w:lang w:eastAsia="en-US"/>
        </w:rPr>
        <w:t>;</w:t>
      </w:r>
    </w:p>
    <w:p>
      <w:pPr>
        <w:pStyle w:val="Standard"/>
        <w:numPr>
          <w:ilvl w:val="0"/>
          <w:numId w:val="24"/>
        </w:numPr>
        <w:tabs>
          <w:tab w:val="clear" w:pos="708"/>
          <w:tab w:val="left" w:pos="709" w:leader="none"/>
        </w:tabs>
        <w:spacing w:before="0" w:after="0"/>
        <w:ind w:left="0" w:firstLine="1069"/>
        <w:contextualSpacing/>
        <w:jc w:val="both"/>
        <w:rPr>
          <w:lang w:eastAsia="en-US"/>
        </w:rPr>
      </w:pPr>
      <w:r>
        <w:rPr>
          <w:lang w:eastAsia="en-US"/>
        </w:rPr>
        <w:t>сведения о результатах проведенной Банком идентификации Исполнителей при открытии Отдельных счетов.</w:t>
      </w:r>
    </w:p>
    <w:p>
      <w:pPr>
        <w:pStyle w:val="Normal"/>
        <w:numPr>
          <w:ilvl w:val="1"/>
          <w:numId w:val="23"/>
        </w:numPr>
        <w:spacing w:before="0" w:after="24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>Отчетным периодом признается период, равный календарному месяцу. В случае если дата подписания Договора не совпадает с датой начала календарного месяца, то первым отчетным периодом признается период с даты подписания договора до конца календарного месяца в котором был подписан настоящий Договор.</w:t>
      </w:r>
    </w:p>
    <w:p>
      <w:pPr>
        <w:pStyle w:val="Normal"/>
        <w:numPr>
          <w:ilvl w:val="1"/>
          <w:numId w:val="23"/>
        </w:numPr>
        <w:spacing w:before="0" w:after="240"/>
        <w:ind w:left="0" w:firstLine="709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  <w:t xml:space="preserve">Банк имеет право направить запрос Заказчику по Сопровождаемому контракту в отношении вопросов, связанных с исполнением настоящего Договора или Сопровождаемого договора. </w:t>
      </w:r>
      <w:r>
        <w:br w:type="page"/>
      </w:r>
    </w:p>
    <w:p>
      <w:pPr>
        <w:pStyle w:val="ListParagraph"/>
        <w:numPr>
          <w:ilvl w:val="0"/>
          <w:numId w:val="23"/>
        </w:numPr>
        <w:jc w:val="center"/>
        <w:rPr>
          <w:rFonts w:ascii="Times New Roman" w:hAnsi="Times New Roman" w:eastAsia="Arial Unicode MS"/>
          <w:b/>
          <w:kern w:val="2"/>
          <w:sz w:val="24"/>
          <w:szCs w:val="24"/>
        </w:rPr>
      </w:pPr>
      <w:r>
        <w:rPr>
          <w:rFonts w:eastAsia="Arial Unicode MS" w:ascii="Times New Roman" w:hAnsi="Times New Roman"/>
          <w:b/>
          <w:kern w:val="2"/>
          <w:sz w:val="24"/>
          <w:szCs w:val="24"/>
        </w:rPr>
        <w:t>ФОРМА АКЦЕПТ-ОФЕРТЫ</w:t>
      </w:r>
    </w:p>
    <w:tbl>
      <w:tblPr>
        <w:tblStyle w:val="a7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44"/>
      </w:tblGrid>
      <w:tr>
        <w:trPr/>
        <w:tc>
          <w:tcPr>
            <w:tcW w:w="93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kern w:val="0"/>
                <w:lang w:val="ru-RU" w:bidi="ar-SA"/>
              </w:rPr>
              <w:t>ФОРМА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Cs/>
                <w:i/>
                <w:i/>
                <w:sz w:val="18"/>
                <w:szCs w:val="18"/>
              </w:rPr>
            </w:pPr>
            <w:r>
              <w:rPr>
                <w:bCs/>
                <w:i/>
                <w:kern w:val="0"/>
                <w:sz w:val="18"/>
                <w:szCs w:val="18"/>
                <w:lang w:val="ru-RU" w:bidi="ar-SA"/>
              </w:rPr>
              <w:t xml:space="preserve">(представляется в Банк ГПБ (АО) на бланке организации с указанием номера документа и даты обращения)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jc w:val="right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jc w:val="right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kern w:val="0"/>
                <w:sz w:val="24"/>
                <w:szCs w:val="28"/>
                <w:lang w:val="ru-RU" w:bidi="ar-SA"/>
              </w:rPr>
              <w:t>В БАНК ГПБ (АО)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left" w:pos="7371" w:leader="none"/>
                <w:tab w:val="right" w:pos="9355" w:leader="none"/>
              </w:tabs>
              <w:suppressAutoHyphens w:val="true"/>
              <w:spacing w:before="0" w:after="0"/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kern w:val="0"/>
                <w:sz w:val="24"/>
                <w:szCs w:val="28"/>
                <w:lang w:val="ru-RU" w:bidi="ar-SA"/>
              </w:rPr>
              <w:t xml:space="preserve">от «__» __________ 20___ г.                                                                                    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left" w:pos="7371" w:leader="none"/>
                <w:tab w:val="right" w:pos="9355" w:leader="none"/>
              </w:tabs>
              <w:suppressAutoHyphens w:val="true"/>
              <w:spacing w:before="0" w:after="0"/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kern w:val="0"/>
                <w:sz w:val="24"/>
                <w:szCs w:val="28"/>
                <w:lang w:val="ru-RU" w:bidi="ar-SA"/>
              </w:rPr>
              <w:t xml:space="preserve">№ </w:t>
            </w:r>
            <w:r>
              <w:rPr>
                <w:b/>
                <w:bCs/>
                <w:kern w:val="0"/>
                <w:sz w:val="24"/>
                <w:szCs w:val="28"/>
                <w:lang w:val="ru-RU" w:bidi="ar-SA"/>
              </w:rPr>
              <w:t>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 xml:space="preserve">АКЦЕПТ </w:t>
            </w:r>
            <w:r>
              <w:rPr>
                <w:b/>
                <w:bCs/>
                <w:kern w:val="0"/>
                <w:sz w:val="24"/>
                <w:szCs w:val="28"/>
                <w:lang w:val="ru-RU" w:bidi="ar-SA"/>
              </w:rPr>
              <w:t xml:space="preserve">ОФЕРТЫ Банка ГПБ (АО)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780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 заключение дополнительного соглашения к договору банковского счета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780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_____________________ от «____» _____________ 20__ 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780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 xml:space="preserve">между Банком ГПБ (АО) и Клиентом – юридическим лицом – некредитной организацией/индивидуальным предпринимателем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780" w:leader="none"/>
              </w:tabs>
              <w:suppressAutoHyphens w:val="true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Настоящим</w:t>
            </w:r>
            <w:r>
              <w:rPr>
                <w:rFonts w:ascii="Times New Roman" w:hAnsi="Times New Roman"/>
                <w:bCs/>
                <w:kern w:val="0"/>
                <w:sz w:val="24"/>
                <w:szCs w:val="28"/>
                <w:lang w:val="ru-RU" w:bidi="ar-SA"/>
              </w:rPr>
              <w:t>____________________________________________________________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/>
                <w:kern w:val="0"/>
                <w:sz w:val="18"/>
                <w:szCs w:val="18"/>
                <w:lang w:val="ru-RU" w:bidi="ar-SA"/>
              </w:rPr>
              <w:t>(наименование Клиента, ИНН Клиента)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ru-RU" w:bidi="ar-SA"/>
              </w:rPr>
              <w:t>(далее – Клиент) акцептует Оферту Банка ГПБ (АО), в отношении банковского счета Клиента:</w:t>
            </w:r>
          </w:p>
          <w:tbl>
            <w:tblPr>
              <w:tblW w:w="5000" w:type="pct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2173"/>
              <w:gridCol w:w="349"/>
              <w:gridCol w:w="350"/>
              <w:gridCol w:w="348"/>
              <w:gridCol w:w="349"/>
              <w:gridCol w:w="346"/>
              <w:gridCol w:w="349"/>
              <w:gridCol w:w="350"/>
              <w:gridCol w:w="347"/>
              <w:gridCol w:w="348"/>
              <w:gridCol w:w="346"/>
              <w:gridCol w:w="350"/>
              <w:gridCol w:w="347"/>
              <w:gridCol w:w="347"/>
              <w:gridCol w:w="346"/>
              <w:gridCol w:w="349"/>
              <w:gridCol w:w="347"/>
              <w:gridCol w:w="348"/>
              <w:gridCol w:w="348"/>
              <w:gridCol w:w="347"/>
              <w:gridCol w:w="341"/>
            </w:tblGrid>
            <w:tr>
              <w:trPr>
                <w:trHeight w:val="297" w:hRule="atLeast"/>
              </w:trPr>
              <w:tc>
                <w:tcPr>
                  <w:tcW w:w="2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left" w:pos="1149" w:leader="none"/>
                      <w:tab w:val="center" w:pos="4677" w:leader="none"/>
                      <w:tab w:val="right" w:pos="9355" w:leader="none"/>
                    </w:tabs>
                    <w:ind w:right="1077" w:hanging="0"/>
                    <w:jc w:val="right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F3F3F3" w:val="clear"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ListParagraph"/>
              <w:widowControl w:val="false"/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Договор об оказании услуги банковского сопровождения / Идентификатор Сопровождаемого контракта (договора, проекта) 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jc w:val="center"/>
              <w:rPr>
                <w:bCs/>
                <w:i/>
                <w:i/>
                <w:sz w:val="18"/>
                <w:szCs w:val="18"/>
                <w:u w:val="single"/>
              </w:rPr>
            </w:pPr>
            <w:r>
              <w:rPr>
                <w:bCs/>
                <w:i/>
                <w:kern w:val="0"/>
                <w:sz w:val="18"/>
                <w:szCs w:val="18"/>
                <w:u w:val="single"/>
                <w:lang w:val="ru-RU" w:bidi="ar-SA"/>
              </w:rPr>
              <w:t>(нужное подчеркнуть)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К963/144-_____ от __.__.20__ г.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ИСД № 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tabs>
                <w:tab w:val="clear" w:pos="708"/>
                <w:tab w:val="left" w:pos="551" w:leader="none"/>
                <w:tab w:val="center" w:pos="4677" w:leader="none"/>
                <w:tab w:val="right" w:pos="9355" w:leader="none"/>
              </w:tabs>
              <w:suppressAutoHyphens w:val="tru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kern w:val="0"/>
                <w:sz w:val="24"/>
                <w:szCs w:val="24"/>
                <w:lang w:val="ru-RU" w:eastAsia="ru-RU" w:bidi="ar-SA"/>
              </w:rPr>
              <w:t>Информация для регистрации в Личном кабинете: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iCs/>
                <w:sz w:val="24"/>
                <w:szCs w:val="28"/>
              </w:rPr>
            </w:pPr>
            <w:r>
              <w:rPr>
                <w:bCs/>
                <w:iCs/>
                <w:kern w:val="0"/>
                <w:sz w:val="24"/>
                <w:szCs w:val="28"/>
                <w:lang w:val="ru-RU" w:bidi="ar-SA"/>
              </w:rPr>
              <w:t xml:space="preserve">Номер мобильного телефона: </w:t>
            </w:r>
            <w:r>
              <w:rPr>
                <w:bCs/>
                <w:iCs/>
                <w:kern w:val="0"/>
                <w:sz w:val="24"/>
                <w:szCs w:val="28"/>
                <w:u w:val="single"/>
                <w:lang w:val="ru-RU" w:bidi="ar-SA"/>
              </w:rPr>
              <w:t>+7</w:t>
            </w:r>
            <w:r>
              <w:rPr>
                <w:bCs/>
                <w:iCs/>
                <w:kern w:val="0"/>
                <w:sz w:val="24"/>
                <w:szCs w:val="28"/>
                <w:lang w:val="ru-RU" w:bidi="ar-SA"/>
              </w:rPr>
              <w:t>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iCs/>
                <w:sz w:val="24"/>
                <w:szCs w:val="28"/>
              </w:rPr>
            </w:pPr>
            <w:r>
              <w:rPr>
                <w:bCs/>
                <w:iCs/>
                <w:kern w:val="0"/>
                <w:sz w:val="24"/>
                <w:szCs w:val="28"/>
                <w:lang w:val="ru-RU" w:bidi="ar-SA"/>
              </w:rPr>
              <w:t>Адрес электронной почты: __________________________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tbl>
            <w:tblPr>
              <w:tblW w:w="912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2582"/>
              <w:gridCol w:w="3271"/>
              <w:gridCol w:w="3275"/>
            </w:tblGrid>
            <w:tr>
              <w:trPr/>
              <w:tc>
                <w:tcPr>
                  <w:tcW w:w="2582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both"/>
                    <w:rPr>
                      <w:bCs/>
                      <w:sz w:val="24"/>
                      <w:szCs w:val="28"/>
                    </w:rPr>
                  </w:pPr>
                  <w:r>
                    <w:rPr>
                      <w:bCs/>
                      <w:sz w:val="24"/>
                      <w:szCs w:val="28"/>
                    </w:rPr>
                    <w:t>Руководитель</w:t>
                  </w:r>
                </w:p>
              </w:tc>
              <w:tc>
                <w:tcPr>
                  <w:tcW w:w="3271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both"/>
                    <w:rPr>
                      <w:bCs/>
                      <w:sz w:val="24"/>
                      <w:szCs w:val="28"/>
                    </w:rPr>
                  </w:pPr>
                  <w:r>
                    <w:rPr>
                      <w:bCs/>
                      <w:sz w:val="24"/>
                      <w:szCs w:val="28"/>
                    </w:rPr>
                    <w:t>________________________</w:t>
                  </w:r>
                </w:p>
              </w:tc>
              <w:tc>
                <w:tcPr>
                  <w:tcW w:w="3275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both"/>
                    <w:rPr>
                      <w:bCs/>
                      <w:sz w:val="24"/>
                      <w:szCs w:val="28"/>
                    </w:rPr>
                  </w:pPr>
                  <w:r>
                    <w:rPr>
                      <w:bCs/>
                      <w:sz w:val="24"/>
                      <w:szCs w:val="28"/>
                    </w:rPr>
                    <w:t>________________________</w:t>
                  </w:r>
                </w:p>
              </w:tc>
            </w:tr>
            <w:tr>
              <w:trPr/>
              <w:tc>
                <w:tcPr>
                  <w:tcW w:w="2582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both"/>
                    <w:rPr>
                      <w:bCs/>
                      <w:sz w:val="24"/>
                      <w:szCs w:val="28"/>
                    </w:rPr>
                  </w:pPr>
                  <w:r>
                    <w:rPr>
                      <w:bCs/>
                      <w:sz w:val="24"/>
                      <w:szCs w:val="28"/>
                    </w:rPr>
                  </w:r>
                </w:p>
              </w:tc>
              <w:tc>
                <w:tcPr>
                  <w:tcW w:w="3271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i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3275" w:type="dxa"/>
                  <w:tcBorders/>
                </w:tcPr>
                <w:p>
                  <w:pPr>
                    <w:pStyle w:val="Normal"/>
                    <w:widowControl w:val="false"/>
                    <w:tabs>
                      <w:tab w:val="clear" w:pos="708"/>
                      <w:tab w:val="center" w:pos="4677" w:leader="none"/>
                      <w:tab w:val="right" w:pos="9355" w:leader="none"/>
                    </w:tabs>
                    <w:jc w:val="center"/>
                    <w:rPr>
                      <w:bCs/>
                      <w:i/>
                      <w:i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sz w:val="18"/>
                      <w:szCs w:val="18"/>
                    </w:rPr>
                    <w:t>(фамилия, инициалы)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Cs/>
                <w:vanish/>
                <w:sz w:val="28"/>
                <w:szCs w:val="28"/>
              </w:rPr>
            </w:pPr>
            <w:r>
              <w:rPr>
                <w:bCs/>
                <w:vanish/>
                <w:sz w:val="28"/>
                <w:szCs w:val="28"/>
              </w:rPr>
            </w:r>
          </w:p>
          <w:tbl>
            <w:tblPr>
              <w:tblW w:w="9900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000" w:noHBand="0" w:lastColumn="0" w:firstColumn="0" w:lastRow="0" w:firstRow="0"/>
            </w:tblPr>
            <w:tblGrid>
              <w:gridCol w:w="9900"/>
            </w:tblGrid>
            <w:tr>
              <w:trPr/>
              <w:tc>
                <w:tcPr>
                  <w:tcW w:w="9900" w:type="dxa"/>
                  <w:tcBorders/>
                </w:tcPr>
                <w:p>
                  <w:pPr>
                    <w:pStyle w:val="Normal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М.П.  </w:t>
                  </w:r>
                </w:p>
              </w:tc>
            </w:tr>
          </w:tbl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Дата приема Акцепта: «___» _________ 20___ г.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579"/>
        <w:gridCol w:w="4774"/>
      </w:tblGrid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Банк:</w:t>
            </w:r>
          </w:p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Заказчик:</w:t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snapToGrid w:val="false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snapToGrid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___________________/</w:t>
            </w:r>
            <w:r>
              <w:rPr>
                <w:b/>
              </w:rPr>
              <w:t xml:space="preserve"> ______________</w:t>
            </w:r>
            <w:r>
              <w:rPr>
                <w:lang w:eastAsia="en-US"/>
              </w:rPr>
              <w:t xml:space="preserve"> /</w:t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   / _</w:t>
            </w:r>
            <w:r>
              <w:rPr>
                <w:b/>
                <w:lang w:eastAsia="en-US"/>
              </w:rPr>
              <w:t>._. ___________</w:t>
            </w:r>
            <w:r>
              <w:rPr>
                <w:lang w:eastAsia="en-US"/>
              </w:rPr>
              <w:t xml:space="preserve"> /</w:t>
            </w:r>
          </w:p>
        </w:tc>
      </w:tr>
      <w:tr>
        <w:trPr/>
        <w:tc>
          <w:tcPr>
            <w:tcW w:w="4579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М.П.</w:t>
            </w:r>
          </w:p>
        </w:tc>
        <w:tc>
          <w:tcPr>
            <w:tcW w:w="4774" w:type="dxa"/>
            <w:tcBorders/>
          </w:tcPr>
          <w:p>
            <w:pPr>
              <w:pStyle w:val="Standard"/>
              <w:widowControl w:val="false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М.П.</w:t>
            </w:r>
          </w:p>
        </w:tc>
      </w:tr>
    </w:tbl>
    <w:p>
      <w:pPr>
        <w:pStyle w:val="Normal"/>
        <w:spacing w:before="0" w:after="240"/>
        <w:ind w:left="360" w:hanging="0"/>
        <w:contextualSpacing/>
        <w:jc w:val="both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</w:r>
    </w:p>
    <w:p>
      <w:pPr>
        <w:pStyle w:val="Normal"/>
        <w:spacing w:lineRule="auto" w:line="259" w:before="0" w:after="160"/>
        <w:rPr>
          <w:rFonts w:eastAsia="Arial Unicode MS"/>
          <w:kern w:val="2"/>
          <w:sz w:val="24"/>
          <w:szCs w:val="24"/>
          <w:lang w:eastAsia="en-US"/>
        </w:rPr>
      </w:pPr>
      <w:r>
        <w:rPr>
          <w:rFonts w:eastAsia="Arial Unicode MS"/>
          <w:kern w:val="2"/>
          <w:sz w:val="24"/>
          <w:szCs w:val="24"/>
          <w:lang w:eastAsia="en-US"/>
        </w:rPr>
      </w:r>
    </w:p>
    <w:sectPr>
      <w:type w:val="nextPage"/>
      <w:pgSz w:w="11906" w:h="16838"/>
      <w:pgMar w:left="1701" w:right="851" w:gutter="0" w:header="0" w:top="1021" w:footer="0" w:bottom="102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hanging="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0"/>
      </w:pPr>
      <w:rPr>
        <w:sz w:val="24"/>
        <w:szCs w:val="24"/>
        <w:rFonts w:eastAsia="Times New Roman"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7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7"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10"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11"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i w:val="false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15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sz w:val="24"/>
        <w:b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4"/>
        <w:b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sz w:val="24"/>
        <w:b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4"/>
        <w:b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sz w:val="24"/>
        <w:b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4"/>
        <w:b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sz w:val="24"/>
        <w:b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4"/>
        <w:b w:val="false"/>
      </w:rPr>
    </w:lvl>
  </w:abstractNum>
  <w:abstractNum w:abstractNumId="16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82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6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9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94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76" w:hanging="1800"/>
      </w:pPr>
      <w:rPr/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b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3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b w:val="false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24">
    <w:lvl w:ilvl="0">
      <w:start w:val="1"/>
      <w:numFmt w:val="bullet"/>
      <w:lvlText w:val="—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620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с отступом 3 Знак"/>
    <w:basedOn w:val="DefaultParagraphFont"/>
    <w:link w:val="BodyTextIndent3"/>
    <w:qFormat/>
    <w:rsid w:val="00456203"/>
    <w:rPr>
      <w:rFonts w:ascii="Times New Roman" w:hAnsi="Times New Roman" w:eastAsia="Times New Roman" w:cs="Times New Roman"/>
      <w:sz w:val="27"/>
      <w:szCs w:val="27"/>
      <w:lang w:eastAsia="ru-RU"/>
    </w:rPr>
  </w:style>
  <w:style w:type="character" w:styleId="Style14">
    <w:name w:val="Символ сноски"/>
    <w:uiPriority w:val="99"/>
    <w:qFormat/>
    <w:rsid w:val="00456203"/>
    <w:rPr>
      <w:vertAlign w:val="superscript"/>
    </w:rPr>
  </w:style>
  <w:style w:type="character" w:styleId="Style15">
    <w:name w:val="Footnote Reference"/>
    <w:rPr>
      <w:vertAlign w:val="superscript"/>
    </w:rPr>
  </w:style>
  <w:style w:type="character" w:styleId="-">
    <w:name w:val="Hyperlink"/>
    <w:uiPriority w:val="99"/>
    <w:rsid w:val="00456203"/>
    <w:rPr>
      <w:rFonts w:ascii="Times New Roman" w:hAnsi="Times New Roman"/>
      <w:color w:val="0000FF"/>
      <w:sz w:val="24"/>
      <w:szCs w:val="24"/>
      <w:u w:val="single"/>
    </w:rPr>
  </w:style>
  <w:style w:type="character" w:styleId="Style16" w:customStyle="1">
    <w:name w:val="Текст сноски Знак"/>
    <w:basedOn w:val="DefaultParagraphFont"/>
    <w:uiPriority w:val="99"/>
    <w:qFormat/>
    <w:rsid w:val="0045620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VND" w:customStyle="1">
    <w:name w:val="VND_основной Знак"/>
    <w:basedOn w:val="DefaultParagraphFont"/>
    <w:link w:val="VND1"/>
    <w:qFormat/>
    <w:rsid w:val="00456203"/>
    <w:rPr>
      <w:rFonts w:ascii="Times New Roman" w:hAnsi="Times New Roman" w:cs="Times New Roman"/>
      <w:sz w:val="24"/>
      <w:szCs w:val="24"/>
    </w:rPr>
  </w:style>
  <w:style w:type="character" w:styleId="Style17" w:customStyle="1">
    <w:name w:val="Абзац списка Знак"/>
    <w:link w:val="ListParagraph"/>
    <w:uiPriority w:val="34"/>
    <w:qFormat/>
    <w:rsid w:val="00456203"/>
    <w:rPr>
      <w:rFonts w:ascii="Calibri" w:hAnsi="Calibri" w:eastAsia="Calibri" w:cs="Times New Roman"/>
    </w:rPr>
  </w:style>
  <w:style w:type="character" w:styleId="Style18" w:customStyle="1">
    <w:name w:val="Основной текст_"/>
    <w:link w:val="11"/>
    <w:qFormat/>
    <w:rsid w:val="005b5a87"/>
    <w:rPr>
      <w:sz w:val="23"/>
      <w:szCs w:val="23"/>
      <w:shd w:fill="FFFFFF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93d8b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nnotationtext"/>
    <w:uiPriority w:val="99"/>
    <w:semiHidden/>
    <w:qFormat/>
    <w:rsid w:val="00193d8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193d8b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21" w:customStyle="1">
    <w:name w:val="Текст выноски Знак"/>
    <w:basedOn w:val="DefaultParagraphFont"/>
    <w:link w:val="BalloonText"/>
    <w:uiPriority w:val="99"/>
    <w:semiHidden/>
    <w:qFormat/>
    <w:rsid w:val="00193d8b"/>
    <w:rPr>
      <w:rFonts w:ascii="Segoe UI" w:hAnsi="Segoe UI" w:eastAsia="Times New Roman" w:cs="Segoe UI"/>
      <w:sz w:val="18"/>
      <w:szCs w:val="18"/>
      <w:lang w:eastAsia="ru-RU"/>
    </w:rPr>
  </w:style>
  <w:style w:type="character" w:styleId="WW-Absatz-Standardschriftart111111" w:customStyle="1">
    <w:name w:val="WW-Absatz-Standardschriftart111111"/>
    <w:uiPriority w:val="99"/>
    <w:qFormat/>
    <w:rsid w:val="006f7057"/>
    <w:rPr/>
  </w:style>
  <w:style w:type="character" w:styleId="WW-Absatz-Standardschriftart1111111" w:customStyle="1">
    <w:name w:val="WW-Absatz-Standardschriftart1111111"/>
    <w:qFormat/>
    <w:rsid w:val="00cb5c61"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Indent3">
    <w:name w:val="Body Text Indent 3"/>
    <w:basedOn w:val="Normal"/>
    <w:link w:val="3"/>
    <w:qFormat/>
    <w:rsid w:val="00456203"/>
    <w:pPr>
      <w:ind w:right="-625" w:firstLine="720"/>
      <w:jc w:val="both"/>
    </w:pPr>
    <w:rPr>
      <w:sz w:val="27"/>
      <w:szCs w:val="27"/>
    </w:rPr>
  </w:style>
  <w:style w:type="paragraph" w:styleId="Style27">
    <w:name w:val="Footnote Text"/>
    <w:basedOn w:val="Normal"/>
    <w:link w:val="Style16"/>
    <w:uiPriority w:val="99"/>
    <w:rsid w:val="00456203"/>
    <w:pPr/>
    <w:rPr/>
  </w:style>
  <w:style w:type="paragraph" w:styleId="ListParagraph">
    <w:name w:val="List Paragraph"/>
    <w:basedOn w:val="Normal"/>
    <w:link w:val="Style17"/>
    <w:uiPriority w:val="34"/>
    <w:qFormat/>
    <w:rsid w:val="0045620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VND1" w:customStyle="1">
    <w:name w:val="VND_основной"/>
    <w:basedOn w:val="Normal"/>
    <w:link w:val="VND"/>
    <w:qFormat/>
    <w:rsid w:val="00456203"/>
    <w:pPr>
      <w:ind w:firstLine="709"/>
      <w:jc w:val="both"/>
    </w:pPr>
    <w:rPr>
      <w:rFonts w:eastAsia="Calibri" w:eastAsiaTheme="minorHAnsi"/>
      <w:sz w:val="24"/>
      <w:szCs w:val="24"/>
      <w:lang w:eastAsia="en-US"/>
    </w:rPr>
  </w:style>
  <w:style w:type="paragraph" w:styleId="Standard" w:customStyle="1">
    <w:name w:val="Standard"/>
    <w:uiPriority w:val="99"/>
    <w:qFormat/>
    <w:rsid w:val="0045620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ru-RU" w:eastAsia="zh-CN" w:bidi="ar-SA"/>
    </w:rPr>
  </w:style>
  <w:style w:type="paragraph" w:styleId="1" w:customStyle="1">
    <w:name w:val="Абзац списка1"/>
    <w:basedOn w:val="Normal"/>
    <w:uiPriority w:val="99"/>
    <w:qFormat/>
    <w:rsid w:val="00456203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11" w:customStyle="1">
    <w:name w:val="Основной текст1"/>
    <w:basedOn w:val="Normal"/>
    <w:link w:val="Style18"/>
    <w:qFormat/>
    <w:rsid w:val="005b5a87"/>
    <w:pPr>
      <w:widowControl w:val="false"/>
      <w:shd w:val="clear" w:color="auto" w:fill="FFFFFF"/>
      <w:spacing w:lineRule="exact" w:line="274" w:before="0" w:after="360"/>
      <w:ind w:hanging="560"/>
    </w:pPr>
    <w:rPr>
      <w:rFonts w:ascii="Calibri" w:hAnsi="Calibri" w:eastAsia="Calibri" w:cs="" w:asciiTheme="minorHAnsi" w:cstheme="minorBidi" w:eastAsiaTheme="minorHAnsi" w:hAnsiTheme="minorHAnsi"/>
      <w:sz w:val="23"/>
      <w:szCs w:val="23"/>
      <w:lang w:eastAsia="en-US"/>
    </w:rPr>
  </w:style>
  <w:style w:type="paragraph" w:styleId="Annotationtext">
    <w:name w:val="annotation text"/>
    <w:basedOn w:val="Normal"/>
    <w:link w:val="Style19"/>
    <w:uiPriority w:val="99"/>
    <w:semiHidden/>
    <w:unhideWhenUsed/>
    <w:qFormat/>
    <w:rsid w:val="00193d8b"/>
    <w:pPr/>
    <w:rPr/>
  </w:style>
  <w:style w:type="paragraph" w:styleId="Annotationsubject">
    <w:name w:val="annotation subject"/>
    <w:basedOn w:val="Annotationtext"/>
    <w:next w:val="Annotationtext"/>
    <w:link w:val="Style20"/>
    <w:uiPriority w:val="99"/>
    <w:semiHidden/>
    <w:unhideWhenUsed/>
    <w:qFormat/>
    <w:rsid w:val="00193d8b"/>
    <w:pPr/>
    <w:rPr>
      <w:b/>
      <w:bCs/>
    </w:rPr>
  </w:style>
  <w:style w:type="paragraph" w:styleId="BalloonText">
    <w:name w:val="Balloon Text"/>
    <w:basedOn w:val="Normal"/>
    <w:link w:val="Style21"/>
    <w:uiPriority w:val="99"/>
    <w:semiHidden/>
    <w:unhideWhenUsed/>
    <w:qFormat/>
    <w:rsid w:val="00193d8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45620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4562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azprombank.ru/" TargetMode="External"/><Relationship Id="rId3" Type="http://schemas.openxmlformats.org/officeDocument/2006/relationships/hyperlink" Target="http://www.gazprombank.ru/" TargetMode="External"/><Relationship Id="rId4" Type="http://schemas.openxmlformats.org/officeDocument/2006/relationships/hyperlink" Target="http://www.gazprombank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4899-6765-47BE-A6A3-8DF410B5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LibreOffice/7.5.6.2$Linux_X86_64 LibreOffice_project/50$Build-2</Application>
  <AppVersion>15.0000</AppVersion>
  <Pages>15</Pages>
  <Words>4911</Words>
  <Characters>35972</Characters>
  <CharactersWithSpaces>40601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2025-02-27T09:53:00Z</dcterms:created>
  <dc:creator>Максакова Юлия Евгеньевна</dc:creator>
  <dc:description/>
  <dc:language>ru-RU</dc:language>
  <cp:lastModifiedBy/>
  <cp:lastPrinted>2025-02-27T10:05:00Z</cp:lastPrinted>
  <dcterms:modified xsi:type="dcterms:W3CDTF">2025-03-11T14:44:05Z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