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http://schemas.openxmlformats.org/wordprocessingml/2006/main" xmlns:r="http://schemas.openxmlformats.org/officeDocument/2006/relationships">
  <w:body>
    <w:tbl>
      <w:tblPr>
        <w:tblW w:w="0" w:type="auto"/>
        <w:tblBorders>
          <w:top w:val="single"/>
          <w:left w:val="single"/>
          <w:bottom w:val="single"/>
          <w:right w:val="single"/>
          <w:insideH w:val="single"/>
          <w:insideV w:val="single"/>
        </w:tblBorders>
        <w:tblBorders>
          <w:insideH w:val="single"/>
          <w:insideV w:val="single"/>
        </w:tblBorders>
        <w:tblLayout w:type="fixed"/>
        <w:tblLayout w:type="fixed"/>
        <w:tblCellMar>
          <w:top w:type="dxa" w:w="500"/>
          <w:left w:type="dxa" w:w="1000"/>
          <w:right w:type="dxa" w:w="1000"/>
        </w:tblCellMar>
        <w:tblCellMar>
          <w:left w:w="100"/>
        </w:tblCellMar>
        <w:tblCellMar>
          <w:right w:w="100"/>
        </w:tblCellMar>
        <w:tblCellMar>
          <w:top w:w="100"/>
        </w:tblCellMar>
      </w:tblPr>
      <w:tr>
        <w:tc>
          <w:tcPr>
            <w:tcW w:w="1055"/>
            <w:shd w:color="auto" w:val="clear" w:fill="bfbfbf"/>
            <w:vAlign w:val="center"/>
          </w:tcPr>
          <w:p>
            <w:pPr>
              <w:spacing w:after="0"/>
              <w:jc w:val="both"/>
            </w:pPr>
            <w:r>
              <w:rPr>
                <w:b w:val="on"/>
                <w:sz w:val="18"/>
                <w:rFonts w:ascii="Courier New" w:hAnsi="Courier New" w:cs="Courier New" w:eastAsia="Courier New"/>
              </w:rPr>
              <w:t>№ п/п</w:t>
            </w:r>
          </w:p>
        </w:tc>
        <w:tc>
          <w:tcPr>
            <w:tcW w:w="9545"/>
            <w:shd w:color="auto" w:val="clear" w:fill="bfbfbf"/>
            <w:vAlign w:val="center"/>
          </w:tcPr>
          <w:p>
            <w:pPr>
              <w:spacing w:after="0"/>
              <w:jc w:val="center"/>
            </w:pPr>
            <w:r>
              <w:rPr>
                <w:b w:val="on"/>
                <w:sz w:val="18"/>
                <w:rFonts w:ascii="Courier New" w:hAnsi="Courier New" w:cs="Courier New" w:eastAsia="Courier New"/>
              </w:rPr>
              <w:t>ТРЕБОВАНИЯ К СОДЕРЖАНИЮ, СОСТАВУ ЗАЯВКИ НА УЧАСТИЕ В ЗАКУПКЕ И ИНСТРУКЦИЯ ПО ЕЕ ЗАПОЛНЕНИЮ</w:t>
            </w:r>
          </w:p>
        </w:tc>
      </w:tr>
      <w:tr>
        <w:tc>
          <w:tcPr>
            <w:hMerge w:val="restart"/>
            <w:vAlign w:val="top"/>
          </w:tcPr>
          <w:p>
            <w:pPr>
              <w:spacing w:after="240"/>
              <w:jc w:val="both"/>
            </w:pPr>
            <w:r>
              <w:rPr>
                <w:b w:val="on"/>
                <w:sz w:val="18"/>
                <w:rFonts w:ascii="Courier New" w:hAnsi="Courier New" w:cs="Courier New" w:eastAsia="Courier New"/>
              </w:rPr>
              <w:t>1. Информация и документы об участнике закупки:</w:t>
            </w:r>
          </w:p>
        </w:tc>
        <w:tc>
          <w:tcPr>
            <w:hMerge w:val="continue"/>
          </w:tcPr>
          <w:p/>
        </w:tc>
      </w:tr>
      <w:tr>
        <w:tc>
          <w:tcPr>
            <w:vAlign w:val="top"/>
          </w:tcPr>
          <w:p>
            <w:pPr>
              <w:spacing w:after="240"/>
              <w:jc w:val="both"/>
            </w:pPr>
            <w:r>
              <w:rPr>
                <w:b w:val="off"/>
                <w:sz w:val="18"/>
                <w:rFonts w:ascii="Courier New" w:hAnsi="Courier New" w:cs="Courier New" w:eastAsia="Courier New"/>
              </w:rPr>
              <w:t>1.1</w:t>
            </w:r>
          </w:p>
        </w:tc>
        <w:tc>
          <w:tcPr>
            <w:vAlign w:val="top"/>
          </w:tcPr>
          <w:p>
            <w:pPr>
              <w:spacing w:after="240"/>
              <w:jc w:val="both"/>
            </w:pPr>
            <w:r>
              <w:rPr>
                <w:b w:val="off"/>
                <w:sz w:val="18"/>
                <w:rFonts w:ascii="Courier New" w:hAnsi="Courier New" w:cs="Courier New" w:eastAsia="Courier New"/>
              </w:rPr>
              <w:t>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tc>
      </w:tr>
      <w:tr>
        <w:tc>
          <w:tcPr>
            <w:vAlign w:val="top"/>
          </w:tcPr>
          <w:p>
            <w:pPr>
              <w:spacing w:after="240"/>
              <w:jc w:val="both"/>
            </w:pPr>
            <w:r>
              <w:rPr>
                <w:b w:val="off"/>
                <w:sz w:val="18"/>
                <w:rFonts w:ascii="Courier New" w:hAnsi="Courier New" w:cs="Courier New" w:eastAsia="Courier New"/>
              </w:rPr>
              <w:t>1.2</w:t>
            </w:r>
          </w:p>
        </w:tc>
        <w:tc>
          <w:tcPr>
            <w:vAlign w:val="top"/>
          </w:tcPr>
          <w:p>
            <w:pPr>
              <w:spacing w:after="240"/>
              <w:jc w:val="both"/>
            </w:pPr>
            <w:r>
              <w:rPr>
                <w:b w:val="off"/>
                <w:sz w:val="18"/>
                <w:rFonts w:ascii="Courier New" w:hAnsi="Courier New" w:cs="Courier New" w:eastAsia="Courier New"/>
              </w:rPr>
              <w:t>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tc>
      </w:tr>
      <w:tr>
        <w:tc>
          <w:tcPr>
            <w:vAlign w:val="top"/>
          </w:tcPr>
          <w:p>
            <w:pPr>
              <w:spacing w:after="240"/>
              <w:jc w:val="both"/>
            </w:pPr>
            <w:r>
              <w:rPr>
                <w:b w:val="off"/>
                <w:sz w:val="18"/>
                <w:rFonts w:ascii="Courier New" w:hAnsi="Courier New" w:cs="Courier New" w:eastAsia="Courier New"/>
              </w:rPr>
              <w:t>1.3</w:t>
            </w:r>
          </w:p>
        </w:tc>
        <w:tc>
          <w:tcPr>
            <w:vAlign w:val="top"/>
          </w:tcPr>
          <w:p>
            <w:pPr>
              <w:spacing w:after="240"/>
              <w:jc w:val="both"/>
            </w:pPr>
            <w:r>
              <w:rPr>
                <w:b w:val="off"/>
                <w:sz w:val="18"/>
                <w:rFonts w:ascii="Courier New" w:hAnsi="Courier New" w:cs="Courier New" w:eastAsia="Courier New"/>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tc>
      </w:tr>
      <w:tr>
        <w:tc>
          <w:tcPr>
            <w:vAlign w:val="top"/>
          </w:tcPr>
          <w:p>
            <w:pPr>
              <w:spacing w:after="240"/>
              <w:jc w:val="both"/>
            </w:pPr>
            <w:r>
              <w:rPr>
                <w:b w:val="off"/>
                <w:sz w:val="18"/>
                <w:rFonts w:ascii="Courier New" w:hAnsi="Courier New" w:cs="Courier New" w:eastAsia="Courier New"/>
              </w:rPr>
              <w:t>1.4</w:t>
            </w:r>
          </w:p>
        </w:tc>
        <w:tc>
          <w:tcPr>
            <w:vAlign w:val="top"/>
          </w:tcPr>
          <w:p>
            <w:pPr>
              <w:spacing w:after="240"/>
              <w:jc w:val="both"/>
            </w:pPr>
            <w:r>
              <w:rPr>
                <w:b w:val="off"/>
                <w:sz w:val="18"/>
                <w:rFonts w:ascii="Courier New" w:hAnsi="Courier New" w:cs="Courier New" w:eastAsia="Courier New"/>
              </w:rPr>
              <w:t>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tc>
      </w:tr>
      <w:tr>
        <w:tc>
          <w:tcPr>
            <w:vAlign w:val="top"/>
          </w:tcPr>
          <w:p>
            <w:pPr>
              <w:spacing w:after="240"/>
              <w:jc w:val="both"/>
            </w:pPr>
            <w:r>
              <w:rPr>
                <w:b w:val="off"/>
                <w:sz w:val="18"/>
                <w:rFonts w:ascii="Courier New" w:hAnsi="Courier New" w:cs="Courier New" w:eastAsia="Courier New"/>
              </w:rPr>
              <w:t>1.5</w:t>
            </w:r>
          </w:p>
        </w:tc>
        <w:tc>
          <w:tcPr>
            <w:vAlign w:val="top"/>
          </w:tcPr>
          <w:p>
            <w:pPr>
              <w:spacing w:after="240"/>
              <w:jc w:val="both"/>
            </w:pPr>
            <w:r>
              <w:rPr>
                <w:b w:val="off"/>
                <w:sz w:val="18"/>
                <w:rFonts w:ascii="Courier New" w:hAnsi="Courier New" w:cs="Courier New" w:eastAsia="Courier New"/>
              </w:rPr>
              <w:t>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tc>
      </w:tr>
      <w:tr>
        <w:tc>
          <w:tcPr>
            <w:vAlign w:val="top"/>
          </w:tcPr>
          <w:p>
            <w:pPr>
              <w:spacing w:after="240"/>
              <w:jc w:val="both"/>
            </w:pPr>
            <w:r>
              <w:rPr>
                <w:b w:val="off"/>
                <w:sz w:val="18"/>
                <w:rFonts w:ascii="Courier New" w:hAnsi="Courier New" w:cs="Courier New" w:eastAsia="Courier New"/>
              </w:rPr>
              <w:t>1.6</w:t>
            </w:r>
          </w:p>
        </w:tc>
        <w:tc>
          <w:tcPr>
            <w:vAlign w:val="top"/>
          </w:tcPr>
          <w:p>
            <w:pPr>
              <w:spacing w:after="240"/>
              <w:jc w:val="both"/>
            </w:pPr>
            <w:r>
              <w:rPr>
                <w:b w:val="off"/>
                <w:sz w:val="18"/>
                <w:rFonts w:ascii="Courier New" w:hAnsi="Courier New" w:cs="Courier New" w:eastAsia="Courier New"/>
              </w:rPr>
              <w:t>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tc>
      </w:tr>
      <w:tr>
        <w:tc>
          <w:tcPr>
            <w:vAlign w:val="top"/>
          </w:tcPr>
          <w:p>
            <w:pPr>
              <w:spacing w:after="240"/>
              <w:jc w:val="both"/>
            </w:pPr>
            <w:r>
              <w:rPr>
                <w:b w:val="off"/>
                <w:sz w:val="18"/>
                <w:rFonts w:ascii="Courier New" w:hAnsi="Courier New" w:cs="Courier New" w:eastAsia="Courier New"/>
              </w:rPr>
              <w:t>1.7</w:t>
            </w:r>
          </w:p>
        </w:tc>
        <w:tc>
          <w:tcPr>
            <w:vAlign w:val="top"/>
          </w:tcPr>
          <w:p>
            <w:pPr>
              <w:spacing w:after="240"/>
              <w:jc w:val="both"/>
            </w:pPr>
            <w:r>
              <w:rPr>
                <w:b w:val="off"/>
                <w:sz w:val="18"/>
                <w:rFonts w:ascii="Courier New" w:hAnsi="Courier New" w:cs="Courier New" w:eastAsia="Courier New"/>
              </w:rPr>
              <w:t>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tc>
      </w:tr>
      <w:tr>
        <w:tc>
          <w:tcPr>
            <w:vAlign w:val="top"/>
          </w:tcPr>
          <w:p>
            <w:pPr>
              <w:spacing w:after="240"/>
              <w:jc w:val="both"/>
            </w:pPr>
            <w:r>
              <w:rPr>
                <w:b w:val="off"/>
                <w:sz w:val="18"/>
                <w:rFonts w:ascii="Courier New" w:hAnsi="Courier New" w:cs="Courier New" w:eastAsia="Courier New"/>
              </w:rPr>
              <w:t>1.8</w:t>
            </w:r>
          </w:p>
        </w:tc>
        <w:tc>
          <w:tcPr>
            <w:vAlign w:val="top"/>
          </w:tcPr>
          <w:p>
            <w:pPr>
              <w:spacing w:after="240"/>
              <w:jc w:val="both"/>
            </w:pPr>
            <w:r>
              <w:rPr>
                <w:b w:val="off"/>
                <w:sz w:val="18"/>
                <w:rFonts w:ascii="Courier New" w:hAnsi="Courier New" w:cs="Courier New" w:eastAsia="Courier New"/>
              </w:rPr>
              <w:t>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tc>
      </w:tr>
      <w:tr>
        <w:tc>
          <w:tcPr>
            <w:vAlign w:val="top"/>
          </w:tcPr>
          <w:p>
            <w:pPr>
              <w:spacing w:after="240"/>
              <w:jc w:val="both"/>
            </w:pPr>
            <w:r>
              <w:rPr>
                <w:b w:val="off"/>
                <w:sz w:val="18"/>
                <w:rFonts w:ascii="Courier New" w:hAnsi="Courier New" w:cs="Courier New" w:eastAsia="Courier New"/>
              </w:rPr>
              <w:t>1.9</w:t>
            </w:r>
          </w:p>
        </w:tc>
        <w:tc>
          <w:tcPr>
            <w:vAlign w:val="top"/>
          </w:tcPr>
          <w:p>
            <w:pPr>
              <w:spacing w:after="240"/>
              <w:jc w:val="both"/>
            </w:pPr>
            <w:r>
              <w:rPr>
                <w:b w:val="off"/>
                <w:sz w:val="18"/>
                <w:rFonts w:ascii="Courier New" w:hAnsi="Courier New" w:cs="Courier New" w:eastAsia="Courier New"/>
              </w:rPr>
              <w:t>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о контрактной системе.</w:t>
            </w:r>
          </w:p>
        </w:tc>
      </w:tr>
      <w:tr>
        <w:tc>
          <w:tcPr>
            <w:hMerge w:val="restart"/>
            <w:vAlign w:val="top"/>
          </w:tcPr>
          <w:p>
            <w:pPr>
              <w:spacing w:after="240"/>
              <w:jc w:val="both"/>
            </w:pPr>
            <w:r>
              <w:rPr>
                <w:b w:val="off"/>
                <w:sz w:val="18"/>
                <w:rFonts w:ascii="Courier New" w:hAnsi="Courier New" w:cs="Courier New" w:eastAsia="Courier New"/>
              </w:rPr>
              <w:t>Информация и документы, предусмотренные подпунктами 1.1 - 1.8, 1.9 пункта 1 настоящих Требований, не включаются участником закупки в заявку на участие в закупке и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tc>
        <w:tc>
          <w:tcPr>
            <w:hMerge w:val="continue"/>
          </w:tcPr>
          <w:p/>
        </w:tc>
      </w:tr>
      <w:tr>
        <w:tc>
          <w:tcPr>
            <w:vAlign w:val="top"/>
          </w:tcPr>
          <w:p>
            <w:pPr>
              <w:spacing w:after="240"/>
              <w:jc w:val="both"/>
            </w:pPr>
            <w:r>
              <w:rPr>
                <w:b w:val="off"/>
                <w:sz w:val="18"/>
                <w:rFonts w:ascii="Courier New" w:hAnsi="Courier New" w:cs="Courier New" w:eastAsia="Courier New"/>
              </w:rPr>
              <w:t>1.10</w:t>
            </w:r>
          </w:p>
        </w:tc>
        <w:tc>
          <w:tcPr>
            <w:vAlign w:val="top"/>
          </w:tcPr>
          <w:p>
            <w:pPr>
              <w:spacing w:after="240"/>
              <w:jc w:val="both"/>
            </w:pPr>
            <w:r>
              <w:rPr>
                <w:b w:val="off"/>
                <w:sz w:val="18"/>
                <w:rFonts w:ascii="Courier New" w:hAnsi="Courier New" w:cs="Courier New" w:eastAsia="Courier New"/>
              </w:rPr>
              <w:t>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tc>
      </w:tr>
      <w:tr>
        <w:tc>
          <w:tcPr>
            <w:vAlign w:val="top"/>
          </w:tcPr>
          <w:p>
            <w:pPr>
              <w:spacing w:after="240"/>
              <w:jc w:val="both"/>
            </w:pPr>
            <w:r>
              <w:rPr>
                <w:b w:val="off"/>
                <w:sz w:val="18"/>
                <w:rFonts w:ascii="Courier New" w:hAnsi="Courier New" w:cs="Courier New" w:eastAsia="Courier New"/>
              </w:rPr>
              <w:t>1.11</w:t>
            </w:r>
          </w:p>
        </w:tc>
        <w:tc>
          <w:tcPr>
            <w:vAlign w:val="top"/>
          </w:tcPr>
          <w:p>
            <w:pPr>
              <w:spacing w:after="240"/>
              <w:jc w:val="both"/>
            </w:pPr>
            <w:r>
              <w:rPr>
                <w:b w:val="off"/>
                <w:sz w:val="18"/>
                <w:rFonts w:ascii="Courier New" w:hAnsi="Courier New" w:cs="Courier New" w:eastAsia="Courier New"/>
              </w:rPr>
              <w:t>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tc>
      </w:tr>
      <w:tr>
        <w:tc>
          <w:tcPr>
            <w:vAlign w:val="top"/>
          </w:tcPr>
          <w:p>
            <w:pPr>
              <w:spacing w:after="240"/>
              <w:jc w:val="both"/>
            </w:pPr>
            <w:r>
              <w:rPr>
                <w:b w:val="off"/>
                <w:sz w:val="18"/>
                <w:rFonts w:ascii="Courier New" w:hAnsi="Courier New" w:cs="Courier New" w:eastAsia="Courier New"/>
              </w:rPr>
              <w:t>1.12</w:t>
            </w:r>
          </w:p>
        </w:tc>
        <w:tc>
          <w:tcPr>
            <w:vAlign w:val="top"/>
          </w:tcPr>
          <w:p>
            <w:pPr>
              <w:spacing w:after="240"/>
              <w:jc w:val="both"/>
            </w:pPr>
            <w:r>
              <w:rPr>
                <w:b w:val="off"/>
                <w:sz w:val="18"/>
                <w:rFonts w:ascii="Courier New" w:hAnsi="Courier New" w:cs="Courier New" w:eastAsia="Courier New"/>
              </w:rPr>
              <w:t>Декларация о соответствии участника закупки требованиям, установленным пунктами 3 – 5, 7 – 11 части 1 статьи 31 Закона о контрактной системе.</w:t>
            </w:r>
          </w:p>
        </w:tc>
      </w:tr>
      <w:tr>
        <w:tc>
          <w:tcPr>
            <w:hMerge w:val="restart"/>
            <w:vAlign w:val="top"/>
          </w:tcPr>
          <w:p>
            <w:pPr>
              <w:spacing w:after="240"/>
              <w:jc w:val="both"/>
            </w:pPr>
            <w:r>
              <w:rPr>
                <w:b w:val="on"/>
                <w:sz w:val="18"/>
                <w:rFonts w:ascii="Courier New" w:hAnsi="Courier New" w:cs="Courier New" w:eastAsia="Courier New"/>
              </w:rPr>
              <w:t>2. Предложение участника закупки в отношении объекта закупки:</w:t>
            </w:r>
          </w:p>
        </w:tc>
        <w:tc>
          <w:tcPr>
            <w:hMerge w:val="continue"/>
          </w:tcPr>
          <w:p/>
        </w:tc>
      </w:tr>
      <w:tr>
        <w:tc>
          <w:tcPr>
            <w:vAlign w:val="top"/>
          </w:tcPr>
          <w:p>
            <w:pPr>
              <w:spacing w:after="240"/>
              <w:jc w:val="both"/>
            </w:pPr>
            <w:r>
              <w:rPr>
                <w:b w:val="off"/>
                <w:sz w:val="18"/>
                <w:rFonts w:ascii="Courier New" w:hAnsi="Courier New" w:cs="Courier New" w:eastAsia="Courier New"/>
              </w:rPr>
              <w:t>2.1</w:t>
            </w:r>
          </w:p>
        </w:tc>
        <w:tc>
          <w:tcPr>
            <w:vAlign w:val="top"/>
            <w:vAlign w:val="top"/>
            <w:vAlign w:val="top"/>
          </w:tcPr>
          <w:p>
            <w:pPr>
              <w:spacing w:after="240"/>
              <w:jc w:val="both"/>
            </w:pPr>
            <w:r>
              <w:rPr>
                <w:b w:val="off"/>
                <w:sz w:val="18"/>
                <w:rFonts w:ascii="Courier New" w:hAnsi="Courier New" w:cs="Courier New" w:eastAsia="Courier New"/>
              </w:rPr>
              <w:t>Характеристики предлагаемого участником закупки товара (в том числе поставляемого заказчику при выполнении закупаемых работ, оказании закупаемых услуг), соответствующие показателям, установленным в описании объекта закупки, товарный знак (при наличии у товара товарного знака).</w:t>
            </w:r>
          </w:p>
          <w:p>
            <w:pPr>
              <w:spacing w:after="240"/>
              <w:jc w:val="both"/>
            </w:pPr>
            <w:r>
              <w:rPr>
                <w:b w:val="off"/>
                <w:sz w:val="18"/>
                <w:rFonts w:ascii="Courier New" w:hAnsi="Courier New" w:cs="Courier New" w:eastAsia="Courier New"/>
              </w:rPr>
              <w:t>Данная информация должна быть указана в отношении установленных в описании объекта закупки характеристик товаров, работ, услуг с учетом положений, указанных в извещении об осуществлении закупки.</w:t>
            </w:r>
          </w:p>
          <w:p>
            <w:pPr>
              <w:spacing w:after="240"/>
              <w:jc w:val="both"/>
            </w:pPr>
            <w:r>
              <w:rPr>
                <w:b w:val="off"/>
                <w:sz w:val="18"/>
                <w:rFonts w:ascii="Courier New" w:hAnsi="Courier New" w:cs="Courier New" w:eastAsia="Courier New"/>
              </w:rPr>
              <w:t>Информация, предусмотренная настоящим подпунктом,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tc>
      </w:tr>
      <w:tr>
        <w:tc>
          <w:tcPr>
            <w:vAlign w:val="top"/>
          </w:tcPr>
          <w:p>
            <w:pPr>
              <w:spacing w:after="240"/>
              <w:jc w:val="both"/>
            </w:pPr>
            <w:r>
              <w:rPr>
                <w:b w:val="off"/>
                <w:sz w:val="18"/>
                <w:rFonts w:ascii="Courier New" w:hAnsi="Courier New" w:cs="Courier New" w:eastAsia="Courier New"/>
              </w:rPr>
              <w:t>2.2</w:t>
            </w:r>
          </w:p>
        </w:tc>
        <w:tc>
          <w:tcPr>
            <w:vAlign w:val="top"/>
          </w:tcPr>
          <w:p>
            <w:pPr>
              <w:spacing w:after="240"/>
              <w:jc w:val="both"/>
            </w:pPr>
            <w:r>
              <w:rPr>
                <w:b w:val="off"/>
                <w:sz w:val="18"/>
                <w:rFonts w:ascii="Courier New" w:hAnsi="Courier New" w:cs="Courier New" w:eastAsia="Courier New"/>
              </w:rPr>
              <w:t>Наименование страны происхождения товара в соответствии с общероссийским классификатором, используемым для идентификации стран мира.</w:t>
            </w:r>
          </w:p>
        </w:tc>
      </w:tr>
      <w:tr>
        <w:tc>
          <w:tcPr>
            <w:vAlign w:val="top"/>
          </w:tcPr>
          <w:p>
            <w:pPr>
              <w:spacing w:after="240"/>
              <w:jc w:val="both"/>
            </w:pPr>
            <w:r>
              <w:rPr>
                <w:b w:val="off"/>
                <w:sz w:val="18"/>
                <w:rFonts w:ascii="Courier New" w:hAnsi="Courier New" w:cs="Courier New" w:eastAsia="Courier New"/>
              </w:rPr>
              <w:t>2.3</w:t>
            </w:r>
          </w:p>
        </w:tc>
        <w:tc>
          <w:tcPr>
            <w:vAlign w:val="top"/>
            <w:vAlign w:val="top"/>
          </w:tcPr>
          <w:p>
            <w:pPr>
              <w:spacing w:after="240"/>
              <w:jc w:val="both"/>
            </w:pPr>
            <w:r>
              <w:rPr>
                <w:b w:val="off"/>
                <w:sz w:val="18"/>
                <w:rFonts w:ascii="Courier New" w:hAnsi="Courier New" w:cs="Courier New" w:eastAsia="Courier New"/>
              </w:rPr>
              <w:t>Иные информация и документы, в том числе эскиз, рисунок, чертеж, фотография, иное изображение предлагаемого участником закупки товара.</w:t>
            </w:r>
          </w:p>
          <w:p>
            <w:pPr>
              <w:spacing w:after="240"/>
              <w:jc w:val="both"/>
            </w:pPr>
            <w:r>
              <w:rPr>
                <w:b w:val="off"/>
                <w:sz w:val="18"/>
                <w:rFonts w:ascii="Courier New" w:hAnsi="Courier New" w:cs="Courier New" w:eastAsia="Courier New"/>
              </w:rPr>
              <w:t>При этом отсутствие таких информации и документов не является основанием для отклонения заявки на участие в закупке.</w:t>
            </w:r>
          </w:p>
        </w:tc>
      </w:tr>
      <w:tr>
        <w:tc>
          <w:tcPr>
            <w:hMerge w:val="restart"/>
            <w:vAlign w:val="top"/>
          </w:tcPr>
          <w:p>
            <w:pPr>
              <w:spacing w:after="240"/>
              <w:jc w:val="both"/>
            </w:pPr>
            <w:r>
              <w:rPr>
                <w:b w:val="on"/>
                <w:sz w:val="18"/>
                <w:rFonts w:ascii="Courier New" w:hAnsi="Courier New" w:cs="Courier New" w:eastAsia="Courier New"/>
              </w:rPr>
              <w:t xml:space="preserve">3. Информация и документы, определенные в соответствии со статьей 14 Закона о контрактной системе: </w:t>
            </w:r>
          </w:p>
        </w:tc>
        <w:tc>
          <w:tcPr>
            <w:hMerge w:val="continue"/>
          </w:tcPr>
          <w:p/>
        </w:tc>
      </w:tr>
      <w:tr>
        <w:tc>
          <w:tcPr>
            <w:vAlign w:val="top"/>
          </w:tcPr>
          <w:p>
            <w:pPr>
              <w:spacing w:after="240"/>
              <w:jc w:val="both"/>
            </w:pPr>
            <w:r>
              <w:rPr>
                <w:b w:val="off"/>
                <w:sz w:val="18"/>
                <w:rFonts w:ascii="Courier New" w:hAnsi="Courier New" w:cs="Courier New" w:eastAsia="Courier New"/>
              </w:rPr>
              <w:t>3.1</w:t>
            </w:r>
          </w:p>
        </w:tc>
        <w:tc>
          <w:tcPr>
            <w:vAlign w:val="top"/>
            <w:vAlign w:val="top"/>
          </w:tcPr>
          <w:p>
            <w:pPr>
              <w:spacing w:after="240"/>
              <w:jc w:val="both"/>
            </w:pPr>
            <w:r>
              <w:rPr>
                <w:b w:val="off"/>
                <w:sz w:val="18"/>
                <w:rFonts w:ascii="Courier New" w:hAnsi="Courier New" w:cs="Courier New" w:eastAsia="Courier New"/>
              </w:rPr>
              <w:t>- Наименование страны происхождения товара указывается в соответствии с подпунктом "б" пункта 2 части 1 статьи 43 Федерального закона № 44-ФЗ.</w:t>
            </w:r>
          </w:p>
          <w:p>
            <w:pPr>
              <w:spacing w:after="240"/>
              <w:jc w:val="both"/>
            </w:pPr>
            <w:r>
              <w:rPr>
                <w:b w:val="off"/>
                <w:sz w:val="18"/>
                <w:rFonts w:ascii="Courier New" w:hAnsi="Courier New" w:cs="Courier New" w:eastAsia="Courier New"/>
              </w:rPr>
              <w:t>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tc>
      </w:tr>
      <w:tr>
        <w:tc>
          <w:tcPr>
            <w:hMerge w:val="restart"/>
            <w:vAlign w:val="top"/>
          </w:tcPr>
          <w:p>
            <w:pPr>
              <w:spacing w:after="240"/>
              <w:jc w:val="both"/>
            </w:pPr>
            <w:r>
              <w:rPr>
                <w:b w:val="on"/>
                <w:sz w:val="18"/>
                <w:rFonts w:ascii="Courier New" w:hAnsi="Courier New" w:cs="Courier New" w:eastAsia="Courier New"/>
              </w:rPr>
              <w:t>4. Инструкция по заполнению заявки</w:t>
            </w:r>
          </w:p>
        </w:tc>
        <w:tc>
          <w:tcPr>
            <w:hMerge w:val="continue"/>
          </w:tcPr>
          <w:p/>
        </w:tc>
      </w:tr>
      <w:tr>
        <w:tc>
          <w:tcPr>
            <w:hMerge w:val="restart"/>
            <w:vAlign w:val="top"/>
            <w:vAlign w:val="top"/>
            <w:vAlign w:val="top"/>
            <w:vAlign w:val="top"/>
            <w:vAlign w:val="top"/>
            <w:vAlign w:val="top"/>
          </w:tcPr>
          <w:p>
            <w:pPr>
              <w:spacing w:after="240"/>
              <w:jc w:val="both"/>
            </w:pPr>
            <w:r>
              <w:rPr>
                <w:b w:val="off"/>
                <w:sz w:val="18"/>
                <w:rFonts w:ascii="Courier New" w:hAnsi="Courier New" w:cs="Courier New" w:eastAsia="Courier New"/>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pPr>
              <w:spacing w:after="240"/>
              <w:jc w:val="both"/>
            </w:pPr>
            <w:r>
              <w:rPr>
                <w:b w:val="off"/>
                <w:sz w:val="18"/>
                <w:rFonts w:ascii="Courier New" w:hAnsi="Courier New" w:cs="Courier New" w:eastAsia="Courier New"/>
              </w:rPr>
              <w:t>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 контрактной системы, оператору электронной площадки.</w:t>
            </w:r>
          </w:p>
          <w:p>
            <w:pPr>
              <w:spacing w:after="240"/>
              <w:jc w:val="both"/>
            </w:pPr>
            <w:r>
              <w:rPr>
                <w:b w:val="off"/>
                <w:sz w:val="18"/>
                <w:rFonts w:ascii="Courier New" w:hAnsi="Courier New" w:cs="Courier New" w:eastAsia="Courier New"/>
              </w:rPr>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срока подачи заявок на участие в закупке.</w:t>
            </w:r>
          </w:p>
          <w:p>
            <w:pPr>
              <w:spacing w:after="240"/>
              <w:jc w:val="both"/>
            </w:pPr>
            <w:r>
              <w:rPr>
                <w:b w:val="off"/>
                <w:sz w:val="18"/>
                <w:rFonts w:ascii="Courier New" w:hAnsi="Courier New" w:cs="Courier New" w:eastAsia="Courier New"/>
              </w:rPr>
              <w:t xml:space="preserve">Заявка на участие в закупке, подготовленная участником закупки, должна быть составлена на русском языке. Отдельные документы (или их части), предоставленные участником закупки
в составе заявки, могут быть подготовлены на другом языке при условии, что к ним будет прилагаться точный перевод на русский язык.
</w:t>
            </w:r>
          </w:p>
          <w:p>
            <w:pPr>
              <w:spacing w:after="240"/>
              <w:jc w:val="both"/>
            </w:pPr>
            <w:r>
              <w:rPr>
                <w:b w:val="off"/>
                <w:sz w:val="18"/>
                <w:rFonts w:ascii="Courier New" w:hAnsi="Courier New" w:cs="Courier New" w:eastAsia="Courier New"/>
              </w:rPr>
              <w:t xml:space="preserve">Все документы, входящие в состав заявки должны иметь четко читаемый текст, не допускающий двусмысленных толкований.
</w:t>
            </w:r>
          </w:p>
          <w:p>
            <w:pPr>
              <w:spacing w:after="240"/>
              <w:jc w:val="both"/>
            </w:pPr>
            <w:r>
              <w:rPr>
                <w:b w:val="off"/>
                <w:sz w:val="18"/>
                <w:rFonts w:ascii="Courier New" w:hAnsi="Courier New" w:cs="Courier New" w:eastAsia="Courier New"/>
              </w:rPr>
              <w:t>Заявка на участие в закупке должна содержать документы и информацию, с учетом требований
к содержанию, составу заявки на участие в закупке.</w:t>
            </w:r>
          </w:p>
        </w:tc>
        <w:tc>
          <w:tcPr>
            <w:hMerge w:val="continue"/>
          </w:tcPr>
          <w:p/>
        </w:tc>
      </w:tr>
      <w:tr>
        <w:tc>
          <w:tcPr>
            <w:hMerge w:val="restart"/>
            <w:vAlign w:val="top"/>
          </w:tcPr>
          <w:p>
            <w:pPr>
              <w:spacing w:after="240"/>
              <w:jc w:val="both"/>
            </w:pPr>
            <w:r>
              <w:rPr>
                <w:b w:val="on"/>
                <w:sz w:val="18"/>
                <w:rFonts w:ascii="Courier New" w:hAnsi="Courier New" w:cs="Courier New" w:eastAsia="Courier New"/>
              </w:rPr>
              <w:t>5. Особенности порядка предоставления обеспечения заявок на участие в закупках участниками закупок, являющимися иностранными лицами</w:t>
            </w:r>
          </w:p>
        </w:tc>
        <w:tc>
          <w:tcPr>
            <w:hMerge w:val="continue"/>
          </w:tcPr>
          <w:p/>
        </w:tc>
      </w:tr>
      <w:tr>
        <w:tc>
          <w:tcPr>
            <w:vAlign w:val="top"/>
          </w:tcPr>
          <w:p>
            <w:pPr>
              <w:spacing w:after="240"/>
              <w:jc w:val="both"/>
            </w:pPr>
            <w:r>
              <w:rPr>
                <w:b w:val="off"/>
                <w:sz w:val="18"/>
                <w:rFonts w:ascii="Courier New" w:hAnsi="Courier New" w:cs="Courier New" w:eastAsia="Courier New"/>
              </w:rPr>
              <w:t>5.1</w:t>
            </w:r>
          </w:p>
        </w:tc>
        <w:tc>
          <w:tcPr>
            <w:vAlign w:val="top"/>
            <w:vAlign w:val="top"/>
            <w:vAlign w:val="top"/>
          </w:tcPr>
          <w:p>
            <w:pPr>
              <w:spacing w:after="240"/>
              <w:jc w:val="both"/>
            </w:pPr>
            <w:r>
              <w:rPr>
                <w:b w:val="off"/>
                <w:sz w:val="18"/>
                <w:rFonts w:ascii="Courier New" w:hAnsi="Courier New" w:cs="Courier New" w:eastAsia="Courier New"/>
              </w:rPr>
              <w:t>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вправе предоставить обеспечение заявок в виде денежных средств с учетом следующих особенностей:</w:t>
            </w:r>
          </w:p>
          <w:p>
            <w:pPr>
              <w:spacing w:after="240"/>
              <w:jc w:val="both"/>
            </w:pPr>
            <w:r>
              <w:rPr>
                <w:b w:val="off"/>
                <w:sz w:val="18"/>
                <w:rFonts w:ascii="Courier New" w:hAnsi="Courier New" w:cs="Courier New" w:eastAsia="Courier New"/>
              </w:rPr>
              <w:t>а) денежные средства вносятся участниками закупки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w:t>
            </w:r>
          </w:p>
          <w:p>
            <w:pPr>
              <w:spacing w:after="240"/>
              <w:jc w:val="both"/>
            </w:pPr>
            <w:r>
              <w:rPr>
                <w:b w:val="off"/>
                <w:sz w:val="18"/>
                <w:rFonts w:ascii="Courier New" w:hAnsi="Courier New" w:cs="Courier New" w:eastAsia="Courier New"/>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tc>
      </w:tr>
    </w:tbl>
    <w:sectPr>
      <w:headerReference w:type="first" r:id="rId2"/>
      <w:footerReference w:type="default" r:id="rId3"/>
      <w:pgSz w:orient="portrait" w:h="16840" w:w="11900"/>
      <w:pgMar w:left="800" w:right="800" w:top="500" w:bottom="500" w:footer="400"/>
      <w:titlePg w:val="on"/>
    </w:sectPr>
  </w:body>
</w:document>
</file>

<file path=word/footer1.xml><?xml version="1.0" encoding="utf-8"?>
<w:ftr xmlns:w="http://schemas.openxmlformats.org/wordprocessingml/2006/main">
  <w:p>
    <w:pPr>
      <w:jc w:val="right"/>
    </w:pPr>
    <w:r>
      <w:rPr/>
      <w:fldChar w:fldCharType="begin"/>
    </w:r>
    <w:r>
      <w:instrText> PAGE </w:instrText>
    </w:r>
    <w:r>
      <w:fldChar w:fldCharType="separate"/>
    </w:r>
    <w:r>
      <w:fldChar w:fldCharType="end"/>
    </w:r>
  </w:p>
</w:ftr>
</file>

<file path=word/header1.xml><?xml version="1.0" encoding="utf-8"?>
<w:hdr xmlns:w="http://schemas.openxmlformats.org/wordprocessingml/2006/main">
  <w:p/>
</w:hdr>
</file>

<file path=word/settings.xml><?xml version="1.0" encoding="utf-8"?>
<w:settings xmlns:w="http://schemas.openxmlformats.org/wordprocessingml/2006/main"/>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header1.xml" Type="http://schemas.openxmlformats.org/officeDocument/2006/relationships/header"/><Relationship Id="rId3" Target="footer1.xml" Type="http://schemas.openxmlformats.org/officeDocument/2006/relationships/footer"/></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2025-08-11T04:08:45Z</dcterms:created>
  <dc:creator>Apache POI</dc:creator>
</cp:coreProperties>
</file>