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58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2236"/>
        <w:gridCol w:w="2268"/>
        <w:gridCol w:w="1418"/>
        <w:gridCol w:w="1701"/>
        <w:gridCol w:w="2683"/>
        <w:gridCol w:w="10"/>
        <w:gridCol w:w="10"/>
      </w:tblGrid>
      <w:tr w:rsidR="00EE0CE8" w:rsidTr="00A755BA">
        <w:trPr>
          <w:trHeight w:val="673"/>
        </w:trPr>
        <w:tc>
          <w:tcPr>
            <w:tcW w:w="10358" w:type="dxa"/>
            <w:gridSpan w:val="8"/>
            <w:shd w:val="clear" w:color="auto" w:fill="FFFFFF"/>
            <w:vAlign w:val="center"/>
          </w:tcPr>
          <w:p w:rsidR="00EE0CE8" w:rsidRDefault="00066B6D" w:rsidP="009C0CC4">
            <w:pPr>
              <w:spacing w:line="232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32"/>
              </w:rPr>
              <w:t>Извещение о проведении конкурса</w:t>
            </w:r>
            <w:r w:rsidR="009C0CC4">
              <w:rPr>
                <w:rFonts w:ascii="Times New Roman" w:hAnsi="Times New Roman" w:cs="Times New Roman"/>
                <w:b/>
                <w:color w:val="000000"/>
                <w:spacing w:val="-2"/>
                <w:sz w:val="32"/>
              </w:rPr>
              <w:t xml:space="preserve"> в электронной форме</w:t>
            </w:r>
          </w:p>
        </w:tc>
      </w:tr>
      <w:tr w:rsidR="00EE0CE8" w:rsidRPr="00F035E3" w:rsidTr="00A755BA">
        <w:trPr>
          <w:trHeight w:val="1261"/>
        </w:trPr>
        <w:tc>
          <w:tcPr>
            <w:tcW w:w="10338" w:type="dxa"/>
            <w:gridSpan w:val="6"/>
            <w:vMerge w:val="restart"/>
            <w:shd w:val="clear" w:color="auto" w:fill="FFFFFF"/>
          </w:tcPr>
          <w:p w:rsidR="00DE64F1" w:rsidRDefault="00066B6D" w:rsidP="00E25765">
            <w:pPr>
              <w:ind w:firstLine="708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В целях удовлетворения нужд Заказчика, являющегося Организатором конкурса, Акционерное общество "Мосводоканал" (АО "Мосводоканал",  далее Заказчик) зарегистрированного по адресу: 105005, г. Москва, Плетешковский пер., д.2, почтовый адрес 105005, г. Москва, Плетешковский пер., д.2, адрес электронной почты </w:t>
            </w:r>
            <w:r w:rsidR="007E6047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shesterkina_sv@mosvodokanal.ru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, телефон 8(499)263-93-16, настоящим приглашает юридических и физических лиц (далее — Участники) к участию в конкурсе </w:t>
            </w:r>
            <w:r w:rsidR="00891A93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в </w:t>
            </w:r>
            <w:r w:rsidR="00891A93" w:rsidRPr="007427C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электронной форме </w:t>
            </w:r>
            <w:r w:rsidR="00C600A0" w:rsidRPr="007427C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на право заключения договора </w:t>
            </w:r>
            <w:r w:rsidR="003903D5" w:rsidRPr="007427C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на </w:t>
            </w:r>
            <w:r w:rsidR="00281AE4" w:rsidRPr="00281AE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выполнение комплекса технологически и функционально связанных проектно-изыскательских и строительно-монтажных работ по объекту: "Вынос сетей канализации по объекту: "Комплексная жилая застройка с объектами инфраструктуры: корпус 19 и корпус 20, а также проектируемые дороги и инженерные коммуникации - улицы №34, №35; Автомобильная дорога регионального назначения "Каширское шоссе – Молоково – Лыткарино"; Многоуровневый паркинг №5, расположенные на земельных участках: *50:21:0060310:5936, 50:21:0060310:5953, 50:21:0000000:46132, 50:21:0000000:46133, 50:21:0060310:5937, 50:21:0060310:13840, 50:21:0060103:13841, 50:21:0060103:13844, 50:21:0060103:13819*, по адресу: Московская область, Ленинский городской округ, сельское поселение </w:t>
            </w:r>
            <w:proofErr w:type="spellStart"/>
            <w:r w:rsidR="00281AE4" w:rsidRPr="00281AE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Молоковское</w:t>
            </w:r>
            <w:proofErr w:type="spellEnd"/>
            <w:r w:rsidR="00281AE4" w:rsidRPr="00281AE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 д. </w:t>
            </w:r>
            <w:proofErr w:type="spellStart"/>
            <w:r w:rsidR="00281AE4" w:rsidRPr="00281AE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Мисайлово</w:t>
            </w:r>
            <w:proofErr w:type="spellEnd"/>
            <w:r w:rsidR="00281AE4" w:rsidRPr="00281AE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и Дальние </w:t>
            </w:r>
            <w:proofErr w:type="spellStart"/>
            <w:r w:rsidR="00281AE4" w:rsidRPr="00281AE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Прудищи</w:t>
            </w:r>
            <w:proofErr w:type="spellEnd"/>
            <w:r w:rsidR="00281AE4" w:rsidRPr="00281AE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"</w:t>
            </w:r>
          </w:p>
          <w:p w:rsidR="001A42EF" w:rsidRPr="007427C9" w:rsidRDefault="001A42EF" w:rsidP="00E25765">
            <w:pPr>
              <w:ind w:firstLine="708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0" w:type="dxa"/>
            <w:gridSpan w:val="2"/>
          </w:tcPr>
          <w:p w:rsidR="00EE0CE8" w:rsidRPr="00C67FA9" w:rsidRDefault="00EE0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CE8" w:rsidRPr="00F035E3" w:rsidTr="00A755BA">
        <w:trPr>
          <w:trHeight w:val="1247"/>
        </w:trPr>
        <w:tc>
          <w:tcPr>
            <w:tcW w:w="10338" w:type="dxa"/>
            <w:gridSpan w:val="6"/>
            <w:vMerge/>
            <w:shd w:val="clear" w:color="auto" w:fill="FFFFFF"/>
          </w:tcPr>
          <w:p w:rsidR="00EE0CE8" w:rsidRPr="007427C9" w:rsidRDefault="00EE0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gridSpan w:val="2"/>
          </w:tcPr>
          <w:p w:rsidR="00EE0CE8" w:rsidRPr="00C67FA9" w:rsidRDefault="00EE0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CE8" w:rsidTr="00A755BA">
        <w:trPr>
          <w:trHeight w:val="358"/>
        </w:trPr>
        <w:tc>
          <w:tcPr>
            <w:tcW w:w="10358" w:type="dxa"/>
            <w:gridSpan w:val="8"/>
            <w:shd w:val="clear" w:color="auto" w:fill="FFFFFF"/>
          </w:tcPr>
          <w:p w:rsidR="00EE0CE8" w:rsidRPr="007427C9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1.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ab/>
              <w:t>Информация по лотам:</w:t>
            </w:r>
          </w:p>
        </w:tc>
      </w:tr>
      <w:tr w:rsidR="00EE0CE8" w:rsidTr="00A755BA">
        <w:trPr>
          <w:trHeight w:val="974"/>
        </w:trPr>
        <w:tc>
          <w:tcPr>
            <w:tcW w:w="10358" w:type="dxa"/>
            <w:gridSpan w:val="8"/>
            <w:shd w:val="clear" w:color="auto" w:fill="FFFFFF"/>
          </w:tcPr>
          <w:p w:rsidR="00941710" w:rsidRPr="00CD07D1" w:rsidRDefault="001B352B" w:rsidP="00E25765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Лот №1 </w:t>
            </w:r>
            <w:r w:rsidRPr="00CD07D1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-</w:t>
            </w:r>
            <w:r w:rsidR="00ED45DB" w:rsidRPr="00CD07D1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281AE4" w:rsidRPr="00281A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выполнение комплекса технологически и функционально связанных проектно-изыскательских и строительно-монтажных работ по объекту: "Вынос сетей канализации по объекту: "Комплексная жилая застройка с объектами инфраструктуры: корпус 19 и корпус 20, а также проектируемые дороги и инженерные коммуникации - улицы №34, №35; Автомобильная дорога регионального назначения "Каширское шоссе – Молоково – Лыткарино"; Многоуровневый паркинг №5, расположенные на земельных участках: *50:21:0060310:5936, 50:21:0060310:5953, 50:21:0000000:46132, 50:21:0000000:46133, 50:21:0060310:5937, 50:21:0060310:13840, 50:21:0060103:13841, 50:21:0060103:13844, 50:21:0060103:13819*, по адресу: Московская область, Ленинский городской округ, сельское поселение </w:t>
            </w:r>
            <w:proofErr w:type="spellStart"/>
            <w:r w:rsidR="00281AE4" w:rsidRPr="00281A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Молоковское</w:t>
            </w:r>
            <w:proofErr w:type="spellEnd"/>
            <w:r w:rsidR="00281AE4" w:rsidRPr="00281A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д. </w:t>
            </w:r>
            <w:proofErr w:type="spellStart"/>
            <w:r w:rsidR="00281AE4" w:rsidRPr="00281A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Мисайлово</w:t>
            </w:r>
            <w:proofErr w:type="spellEnd"/>
            <w:r w:rsidR="00281AE4" w:rsidRPr="00281A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 Дальние </w:t>
            </w:r>
            <w:proofErr w:type="spellStart"/>
            <w:r w:rsidR="00281AE4" w:rsidRPr="00281A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Прудищи</w:t>
            </w:r>
            <w:proofErr w:type="spellEnd"/>
            <w:r w:rsidR="00281AE4" w:rsidRPr="00281A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"</w:t>
            </w:r>
            <w:r w:rsidR="009008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  <w:p w:rsidR="001F0090" w:rsidRPr="00CD07D1" w:rsidRDefault="001F0090">
            <w:pPr>
              <w:spacing w:line="232" w:lineRule="auto"/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EE0CE8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427C9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Максимальная цена договора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="00FB3910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–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="00003E73" w:rsidRPr="00003E73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  <w:t>269 176 160</w:t>
            </w:r>
            <w:r w:rsidR="00281AE4" w:rsidRPr="00281AE4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  <w:t>,9</w:t>
            </w:r>
            <w:r w:rsidR="00003E73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  <w:t>0</w:t>
            </w:r>
            <w:r w:rsidR="00281AE4" w:rsidRPr="00281AE4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  <w:t xml:space="preserve"> 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руб., с учётом НДС</w:t>
            </w:r>
            <w:r w:rsidR="00260CCE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  <w:p w:rsidR="008572DF" w:rsidRDefault="008572DF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  <w:p w:rsidR="006E2FD5" w:rsidRPr="00A755BA" w:rsidRDefault="00101D17" w:rsidP="00101D17">
            <w:pPr>
              <w:spacing w:line="232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F7281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Обеспечение заявки</w:t>
            </w:r>
            <w:r w:rsidRPr="00AF7281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: </w:t>
            </w:r>
            <w:r w:rsidR="00A755BA" w:rsidRPr="00A755BA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  <w:t>5 %</w:t>
            </w:r>
            <w:r w:rsidR="00A755BA" w:rsidRPr="00A755B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="00A755BA" w:rsidRPr="00A75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начальной (максимальной) цены договора, НДС не облагается</w:t>
            </w:r>
            <w:r w:rsidR="006E2FD5" w:rsidRPr="00A75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C66DB" w:rsidRPr="007427C9" w:rsidRDefault="00101D17" w:rsidP="00101D17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AF7281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Обеспечение исполнения договора составляет</w:t>
            </w:r>
            <w:r w:rsidRPr="00AF7281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: Не предусмотрено.</w:t>
            </w:r>
          </w:p>
          <w:p w:rsidR="00EE0CE8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8572DF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Место выполнения работ: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согласно документации</w:t>
            </w:r>
            <w:r w:rsidR="00260CCE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  <w:p w:rsidR="008572DF" w:rsidRPr="007427C9" w:rsidRDefault="008572DF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8572DF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 xml:space="preserve">Информация </w:t>
            </w:r>
            <w:r w:rsidR="00434281" w:rsidRPr="008572DF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о запрете или об ограничении закупок товаров (в том числе поставляемых при выполнении закупаемых работ, оказании закупаемых услуг</w:t>
            </w:r>
            <w:r w:rsidR="00434281" w:rsidRPr="00DE3A8C">
              <w:rPr>
                <w:rFonts w:ascii="Times New Roman" w:hAnsi="Times New Roman" w:cs="Times New Roman"/>
                <w:b/>
                <w:color w:val="000000"/>
                <w:spacing w:val="-2"/>
                <w:sz w:val="26"/>
                <w:szCs w:val="26"/>
              </w:rPr>
              <w:t>)</w:t>
            </w:r>
            <w:r w:rsidR="00434281" w:rsidRPr="00DE3A8C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: в соответствии с Постановлением Правительства РФ от 23.12.2024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      </w:r>
          </w:p>
        </w:tc>
      </w:tr>
      <w:tr w:rsidR="00EE0CE8" w:rsidTr="00A755BA">
        <w:trPr>
          <w:trHeight w:val="158"/>
        </w:trPr>
        <w:tc>
          <w:tcPr>
            <w:tcW w:w="10358" w:type="dxa"/>
            <w:gridSpan w:val="8"/>
            <w:tcBorders>
              <w:bottom w:val="single" w:sz="5" w:space="0" w:color="000000"/>
            </w:tcBorders>
          </w:tcPr>
          <w:p w:rsidR="00EE0CE8" w:rsidRPr="00F63147" w:rsidRDefault="00EE0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CE8" w:rsidRPr="00C67FA9" w:rsidTr="00CD07D1">
        <w:trPr>
          <w:gridAfter w:val="1"/>
          <w:wAfter w:w="10" w:type="dxa"/>
          <w:trHeight w:val="559"/>
        </w:trPr>
        <w:tc>
          <w:tcPr>
            <w:tcW w:w="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C67FA9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C67FA9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Классификация по ОКПД 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C67FA9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Классификация по ОКВЭД 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24"/>
              </w:rPr>
            </w:pPr>
            <w:r w:rsidRPr="00C67FA9">
              <w:rPr>
                <w:rFonts w:ascii="Arial" w:hAnsi="Arial" w:cs="Arial"/>
                <w:b/>
                <w:color w:val="000000"/>
                <w:spacing w:val="-2"/>
                <w:sz w:val="24"/>
              </w:rPr>
              <w:t>Единицы измерения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24"/>
              </w:rPr>
            </w:pPr>
            <w:r w:rsidRPr="00C67FA9">
              <w:rPr>
                <w:rFonts w:ascii="Arial" w:hAnsi="Arial" w:cs="Arial"/>
                <w:b/>
                <w:color w:val="000000"/>
                <w:spacing w:val="-2"/>
                <w:sz w:val="24"/>
              </w:rPr>
              <w:t>Количество (объем)</w:t>
            </w:r>
          </w:p>
        </w:tc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24"/>
              </w:rPr>
            </w:pPr>
            <w:r w:rsidRPr="00C67FA9">
              <w:rPr>
                <w:rFonts w:ascii="Arial" w:hAnsi="Arial" w:cs="Arial"/>
                <w:b/>
                <w:color w:val="000000"/>
                <w:spacing w:val="-2"/>
                <w:sz w:val="24"/>
              </w:rPr>
              <w:t>Доп. сведения</w:t>
            </w:r>
          </w:p>
        </w:tc>
      </w:tr>
      <w:tr w:rsidR="00AF7281" w:rsidRPr="00C67FA9" w:rsidTr="00CD07D1">
        <w:trPr>
          <w:gridAfter w:val="1"/>
          <w:wAfter w:w="10" w:type="dxa"/>
          <w:trHeight w:val="1014"/>
        </w:trPr>
        <w:tc>
          <w:tcPr>
            <w:tcW w:w="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F7281" w:rsidRPr="00C67FA9" w:rsidRDefault="00AF7281" w:rsidP="00AF7281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097DEB" w:rsidP="00AF7281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097DEB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43.22.11.150 Работы по монтажу канализационных систем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96039F" w:rsidP="00AF7281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42.21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AF7281" w:rsidP="00AF7281">
            <w:pPr>
              <w:spacing w:line="232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Условная единица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AF7281" w:rsidP="00AF7281">
            <w:pPr>
              <w:spacing w:line="232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AF7281" w:rsidP="00AF7281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186F8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Подробные объемы работ установлены в Части III. Технической части закупочной документации</w:t>
            </w:r>
          </w:p>
        </w:tc>
      </w:tr>
      <w:tr w:rsidR="00EE0CE8" w:rsidRPr="00C67FA9" w:rsidTr="00CD07D1">
        <w:trPr>
          <w:gridAfter w:val="1"/>
          <w:wAfter w:w="10" w:type="dxa"/>
          <w:trHeight w:val="846"/>
        </w:trPr>
        <w:tc>
          <w:tcPr>
            <w:tcW w:w="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23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2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141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17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69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</w:tr>
      <w:tr w:rsidR="00EE0CE8" w:rsidRPr="00C67FA9" w:rsidTr="00CD07D1">
        <w:trPr>
          <w:gridAfter w:val="1"/>
          <w:wAfter w:w="10" w:type="dxa"/>
          <w:trHeight w:val="275"/>
        </w:trPr>
        <w:tc>
          <w:tcPr>
            <w:tcW w:w="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23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2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141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17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69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</w:tr>
      <w:tr w:rsidR="00EE0CE8" w:rsidRPr="00C67FA9" w:rsidTr="00A755BA">
        <w:trPr>
          <w:trHeight w:val="631"/>
        </w:trPr>
        <w:tc>
          <w:tcPr>
            <w:tcW w:w="10358" w:type="dxa"/>
            <w:gridSpan w:val="8"/>
            <w:tcBorders>
              <w:top w:val="single" w:sz="5" w:space="0" w:color="000000"/>
            </w:tcBorders>
            <w:shd w:val="clear" w:color="auto" w:fill="auto"/>
            <w:tcMar>
              <w:top w:w="143" w:type="dxa"/>
            </w:tcMar>
          </w:tcPr>
          <w:p w:rsidR="00EE0CE8" w:rsidRPr="00C67FA9" w:rsidRDefault="00066B6D" w:rsidP="00E00B98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Год финансирования: </w:t>
            </w:r>
            <w:r w:rsidR="00985A53"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20</w:t>
            </w:r>
            <w:r w:rsidR="00E5055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25</w:t>
            </w:r>
            <w:r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г.</w:t>
            </w:r>
          </w:p>
        </w:tc>
      </w:tr>
      <w:tr w:rsidR="00EE0CE8" w:rsidRPr="00E75845" w:rsidTr="00A755BA">
        <w:trPr>
          <w:trHeight w:val="1432"/>
        </w:trPr>
        <w:tc>
          <w:tcPr>
            <w:tcW w:w="10358" w:type="dxa"/>
            <w:gridSpan w:val="8"/>
            <w:shd w:val="clear" w:color="auto" w:fill="auto"/>
          </w:tcPr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2.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Основные условия заключаемого по результатам конкурса договора, содержатся в конкурсной документации.</w:t>
            </w:r>
          </w:p>
          <w:p w:rsidR="00EE0CE8" w:rsidRPr="00E75845" w:rsidRDefault="00EE0CE8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3.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Участником конкурса может быть любой подрядчик. Претендовать на победу в данном конкурсе может Участник, отвечающий следующим основным требованиям: согласно документации.</w:t>
            </w:r>
          </w:p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Более подробно требования к Участникам, а также требования к порядку подтверждения соответствия этим требованиям, содержатся в конкурсной документации.</w:t>
            </w:r>
          </w:p>
          <w:p w:rsidR="00EE0CE8" w:rsidRPr="00E75845" w:rsidRDefault="00EE0CE8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4.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Техническое задание, подробное описание условий Договора, а также процедур конкурса содержится в конкурсной документации.</w:t>
            </w:r>
          </w:p>
          <w:p w:rsidR="00EE0CE8" w:rsidRPr="00E75845" w:rsidRDefault="00EE0CE8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5.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  <w:r w:rsidR="00C67FA9"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Документация по проведению конкурса</w:t>
            </w:r>
            <w:r w:rsidR="009C0CC4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в электронной форме</w:t>
            </w:r>
            <w:r w:rsidR="00C67FA9"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предоставляется в электронной форме посредством размещения для скачивания и ознакомления на сайте Единой электронной площадки (http://roseltorg.ru) и сайте Единой информационной системы в сфере закупок (http://zakupki.gov.ru.).</w:t>
            </w:r>
          </w:p>
          <w:p w:rsidR="00AE0B36" w:rsidRPr="00E75845" w:rsidRDefault="00AE0B36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EE0CE8" w:rsidTr="00A755BA">
        <w:trPr>
          <w:trHeight w:val="1433"/>
        </w:trPr>
        <w:tc>
          <w:tcPr>
            <w:tcW w:w="10358" w:type="dxa"/>
            <w:gridSpan w:val="8"/>
            <w:shd w:val="clear" w:color="auto" w:fill="FFFFFF"/>
          </w:tcPr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6.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Для участия в конкурсе необходимо своевременно подать конкурсную заявку, подготовленную в порядке, оговоренном в конкурсной документации.</w:t>
            </w:r>
          </w:p>
          <w:p w:rsidR="00EE0CE8" w:rsidRPr="00E75845" w:rsidRDefault="00EE0CE8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65172C" w:rsidRPr="0065172C" w:rsidRDefault="00066B6D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  <w:r w:rsidR="0065172C"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7.</w:t>
            </w:r>
            <w:r w:rsidR="0065172C"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Конкурсные заявки оформляются Участником в порядке, указанном в конкурсной документации и представляются c 13.08.2025 по 29.08.2025 в электронной форме че</w:t>
            </w:r>
            <w:bookmarkStart w:id="0" w:name="_GoBack"/>
            <w:bookmarkEnd w:id="0"/>
            <w:r w:rsidR="0065172C"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рез функционал Единой электронной площадки (далее ЕЭТП)  </w:t>
            </w:r>
            <w:hyperlink r:id="rId6" w:history="1">
              <w:r w:rsidR="0065172C" w:rsidRPr="0065172C">
                <w:rPr>
                  <w:rStyle w:val="a5"/>
                  <w:rFonts w:ascii="Times New Roman" w:hAnsi="Times New Roman" w:cs="Times New Roman"/>
                  <w:spacing w:val="-2"/>
                  <w:sz w:val="28"/>
                </w:rPr>
                <w:t>https://com.roseltorg.ru/</w:t>
              </w:r>
            </w:hyperlink>
            <w:r w:rsidR="0065172C"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. </w:t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         8.  Дата и время окончания подачи заявок: 29.08.2025 в 13-00 московского времени.</w:t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9.</w:t>
            </w: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 xml:space="preserve">Организатор конкурса рассмотрит представленные конкурсные заявки на ЕЭТП - </w:t>
            </w:r>
            <w:hyperlink r:id="rId7" w:history="1">
              <w:r w:rsidRPr="0065172C">
                <w:rPr>
                  <w:rStyle w:val="a5"/>
                  <w:rFonts w:ascii="Times New Roman" w:hAnsi="Times New Roman" w:cs="Times New Roman"/>
                  <w:spacing w:val="-2"/>
                  <w:sz w:val="28"/>
                </w:rPr>
                <w:t>https://com.roseltorg.ru/</w:t>
              </w:r>
            </w:hyperlink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 по адресу: 105005, г. Москва, Плетешковский пер., д.2 начиная с 29.08.2025. </w:t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lastRenderedPageBreak/>
              <w:t xml:space="preserve">           10.   </w:t>
            </w: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Дата подачи окончательных предложений: 02.09.2025.  Время начала проведения процедуры устанавливается оператором электронной площадки в соответствии со временем часовой зоны, в которой расположен Заказчик.</w:t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11.</w:t>
            </w: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 xml:space="preserve">Подведение итогов конкурса и подписание протокола о его результатах будет осуществлено 02.09.2025 по адресу: </w:t>
            </w:r>
            <w:hyperlink r:id="rId8" w:history="1">
              <w:r w:rsidRPr="0065172C">
                <w:rPr>
                  <w:rStyle w:val="a5"/>
                  <w:rFonts w:ascii="Times New Roman" w:hAnsi="Times New Roman" w:cs="Times New Roman"/>
                  <w:spacing w:val="-2"/>
                  <w:sz w:val="28"/>
                </w:rPr>
                <w:t>https://com.roseltorg.ru/</w:t>
              </w:r>
            </w:hyperlink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105005, г. Москва, Плетешковский пер., 2. </w:t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12.</w:t>
            </w: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 xml:space="preserve">Организатор конкурса вправе принять решение об отказе от проведения открытого конкурса в любой момент до окончания срока подачи предложений, </w:t>
            </w:r>
            <w:proofErr w:type="gramStart"/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разместив  извещение</w:t>
            </w:r>
            <w:proofErr w:type="gramEnd"/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об этом на официальном сайте.</w:t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13.</w:t>
            </w: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Договор по результатам конкурса между Заказчиком и Победителем конкурса будет заключен в течение 20 дней на основании протокола о результатах процедуры.</w:t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14.</w:t>
            </w: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Настоящее извещение является первой и официальной публикацией о проводимом АО "Мосводоканал" конкурсе.</w:t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15.</w:t>
            </w: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  <w:p w:rsidR="0065172C" w:rsidRPr="0065172C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9A14C4" w:rsidRPr="009A14C4" w:rsidRDefault="0065172C" w:rsidP="0065172C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16.</w:t>
            </w:r>
            <w:r w:rsidRPr="0065172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Датой определения Победителя устанавливается 02.09.2025.</w:t>
            </w:r>
          </w:p>
          <w:p w:rsidR="00EE0CE8" w:rsidRDefault="00EE0CE8" w:rsidP="00E75845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</w:tbl>
    <w:p w:rsidR="00EA1C9D" w:rsidRDefault="00EA1C9D"/>
    <w:sectPr w:rsidR="00EA1C9D" w:rsidSect="00813E29">
      <w:headerReference w:type="default" r:id="rId9"/>
      <w:footerReference w:type="default" r:id="rId10"/>
      <w:pgSz w:w="12240" w:h="15840"/>
      <w:pgMar w:top="567" w:right="567" w:bottom="517" w:left="567" w:header="567" w:footer="5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869" w:rsidRDefault="00550869">
      <w:r>
        <w:separator/>
      </w:r>
    </w:p>
  </w:endnote>
  <w:endnote w:type="continuationSeparator" w:id="0">
    <w:p w:rsidR="00550869" w:rsidRDefault="00550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047"/>
      <w:gridCol w:w="20"/>
    </w:tblGrid>
    <w:tr w:rsidR="00EE0CE8">
      <w:trPr>
        <w:trHeight w:val="244"/>
      </w:trPr>
      <w:tc>
        <w:tcPr>
          <w:tcW w:w="11047" w:type="dxa"/>
          <w:tcBorders>
            <w:top w:val="single" w:sz="5" w:space="0" w:color="000000"/>
          </w:tcBorders>
          <w:shd w:val="clear" w:color="auto" w:fill="FFFFFF"/>
        </w:tcPr>
        <w:p w:rsidR="00EE0CE8" w:rsidRDefault="00066B6D">
          <w:pPr>
            <w:spacing w:line="232" w:lineRule="auto"/>
            <w:jc w:val="right"/>
            <w:rPr>
              <w:rFonts w:ascii="Times New Roman" w:hAnsi="Times New Roman" w:cs="Times New Roman"/>
              <w:color w:val="000000"/>
              <w:spacing w:val="-2"/>
              <w:sz w:val="20"/>
            </w:rPr>
          </w:pPr>
          <w:r>
            <w:rPr>
              <w:rFonts w:ascii="Times New Roman" w:hAnsi="Times New Roman" w:cs="Times New Roman"/>
              <w:color w:val="000000"/>
              <w:spacing w:val="-2"/>
              <w:sz w:val="20"/>
            </w:rPr>
            <w:t xml:space="preserve">Страница </w: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pacing w:val="-2"/>
              <w:sz w:val="20"/>
            </w:rPr>
            <w:instrText>PAGE</w:instrTex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separate"/>
          </w:r>
          <w:r w:rsidR="00281AE4">
            <w:rPr>
              <w:rFonts w:ascii="Times New Roman" w:hAnsi="Times New Roman" w:cs="Times New Roman"/>
              <w:noProof/>
              <w:color w:val="000000"/>
              <w:spacing w:val="-2"/>
              <w:sz w:val="20"/>
            </w:rPr>
            <w:t>3</w: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end"/>
          </w:r>
          <w:r>
            <w:rPr>
              <w:rFonts w:ascii="Times New Roman" w:hAnsi="Times New Roman" w:cs="Times New Roman"/>
              <w:color w:val="000000"/>
              <w:spacing w:val="-2"/>
              <w:sz w:val="20"/>
            </w:rPr>
            <w:t xml:space="preserve"> из </w: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pacing w:val="-2"/>
              <w:sz w:val="20"/>
            </w:rPr>
            <w:instrText>NUMPAGES</w:instrTex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separate"/>
          </w:r>
          <w:r w:rsidR="00281AE4">
            <w:rPr>
              <w:rFonts w:ascii="Times New Roman" w:hAnsi="Times New Roman" w:cs="Times New Roman"/>
              <w:noProof/>
              <w:color w:val="000000"/>
              <w:spacing w:val="-2"/>
              <w:sz w:val="20"/>
            </w:rPr>
            <w:t>3</w: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end"/>
          </w:r>
        </w:p>
      </w:tc>
      <w:tc>
        <w:tcPr>
          <w:tcW w:w="14" w:type="dxa"/>
        </w:tcPr>
        <w:p w:rsidR="00EE0CE8" w:rsidRDefault="00EE0CE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869" w:rsidRDefault="00550869">
      <w:r>
        <w:separator/>
      </w:r>
    </w:p>
  </w:footnote>
  <w:footnote w:type="continuationSeparator" w:id="0">
    <w:p w:rsidR="00550869" w:rsidRDefault="00550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CE8" w:rsidRDefault="00066B6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CE8"/>
    <w:rsid w:val="0000103D"/>
    <w:rsid w:val="00003E73"/>
    <w:rsid w:val="00004223"/>
    <w:rsid w:val="0000573C"/>
    <w:rsid w:val="0003608F"/>
    <w:rsid w:val="00054BEE"/>
    <w:rsid w:val="000631DE"/>
    <w:rsid w:val="000655BD"/>
    <w:rsid w:val="00066B6D"/>
    <w:rsid w:val="00072FAB"/>
    <w:rsid w:val="000732FD"/>
    <w:rsid w:val="00074172"/>
    <w:rsid w:val="00080A7F"/>
    <w:rsid w:val="00084F57"/>
    <w:rsid w:val="00092ECD"/>
    <w:rsid w:val="000969E1"/>
    <w:rsid w:val="00097DEB"/>
    <w:rsid w:val="000A52B7"/>
    <w:rsid w:val="000C4456"/>
    <w:rsid w:val="000E1177"/>
    <w:rsid w:val="000E44AF"/>
    <w:rsid w:val="000E6BE8"/>
    <w:rsid w:val="000E7181"/>
    <w:rsid w:val="000E7A96"/>
    <w:rsid w:val="000F367D"/>
    <w:rsid w:val="00101D17"/>
    <w:rsid w:val="00103510"/>
    <w:rsid w:val="0010753E"/>
    <w:rsid w:val="00110A71"/>
    <w:rsid w:val="00113B19"/>
    <w:rsid w:val="0012310F"/>
    <w:rsid w:val="0012749B"/>
    <w:rsid w:val="001278B2"/>
    <w:rsid w:val="00141D85"/>
    <w:rsid w:val="00143704"/>
    <w:rsid w:val="00144AE4"/>
    <w:rsid w:val="00150CB5"/>
    <w:rsid w:val="00153125"/>
    <w:rsid w:val="00155C50"/>
    <w:rsid w:val="001575DF"/>
    <w:rsid w:val="0016423E"/>
    <w:rsid w:val="00166DBB"/>
    <w:rsid w:val="00172DA4"/>
    <w:rsid w:val="00176D07"/>
    <w:rsid w:val="00185573"/>
    <w:rsid w:val="00185670"/>
    <w:rsid w:val="001975CB"/>
    <w:rsid w:val="001A0CD9"/>
    <w:rsid w:val="001A24BE"/>
    <w:rsid w:val="001A3F67"/>
    <w:rsid w:val="001A42EF"/>
    <w:rsid w:val="001A440A"/>
    <w:rsid w:val="001A5EB2"/>
    <w:rsid w:val="001A6C98"/>
    <w:rsid w:val="001B1811"/>
    <w:rsid w:val="001B352B"/>
    <w:rsid w:val="001B7C1E"/>
    <w:rsid w:val="001C2DE5"/>
    <w:rsid w:val="001C55AC"/>
    <w:rsid w:val="001D3D38"/>
    <w:rsid w:val="001D3F0A"/>
    <w:rsid w:val="001D5F06"/>
    <w:rsid w:val="001E795C"/>
    <w:rsid w:val="001E7CCC"/>
    <w:rsid w:val="001E7CDA"/>
    <w:rsid w:val="001F0090"/>
    <w:rsid w:val="001F3BF9"/>
    <w:rsid w:val="001F6D72"/>
    <w:rsid w:val="0020001B"/>
    <w:rsid w:val="00203B83"/>
    <w:rsid w:val="002130CA"/>
    <w:rsid w:val="002174A4"/>
    <w:rsid w:val="00217F65"/>
    <w:rsid w:val="0022104A"/>
    <w:rsid w:val="00231BEB"/>
    <w:rsid w:val="00233A6E"/>
    <w:rsid w:val="002369DE"/>
    <w:rsid w:val="00251798"/>
    <w:rsid w:val="0025449D"/>
    <w:rsid w:val="002546D9"/>
    <w:rsid w:val="00260CCE"/>
    <w:rsid w:val="00262177"/>
    <w:rsid w:val="00265CBE"/>
    <w:rsid w:val="00272497"/>
    <w:rsid w:val="00276908"/>
    <w:rsid w:val="0028195C"/>
    <w:rsid w:val="00281AE4"/>
    <w:rsid w:val="00282C2D"/>
    <w:rsid w:val="00291E95"/>
    <w:rsid w:val="002940D4"/>
    <w:rsid w:val="00295F65"/>
    <w:rsid w:val="002A0F36"/>
    <w:rsid w:val="002A1045"/>
    <w:rsid w:val="002A6C49"/>
    <w:rsid w:val="002A7D40"/>
    <w:rsid w:val="002B6A00"/>
    <w:rsid w:val="002B6EAE"/>
    <w:rsid w:val="002C03AD"/>
    <w:rsid w:val="002C221A"/>
    <w:rsid w:val="002C5D19"/>
    <w:rsid w:val="002C68C8"/>
    <w:rsid w:val="002D5B9D"/>
    <w:rsid w:val="002D5E6A"/>
    <w:rsid w:val="002E06FA"/>
    <w:rsid w:val="002E2800"/>
    <w:rsid w:val="002F599A"/>
    <w:rsid w:val="00300141"/>
    <w:rsid w:val="00300FA4"/>
    <w:rsid w:val="00301797"/>
    <w:rsid w:val="0030185D"/>
    <w:rsid w:val="00303719"/>
    <w:rsid w:val="0030752E"/>
    <w:rsid w:val="00312F32"/>
    <w:rsid w:val="00314D51"/>
    <w:rsid w:val="00345C68"/>
    <w:rsid w:val="00347CAF"/>
    <w:rsid w:val="00350022"/>
    <w:rsid w:val="00353CAA"/>
    <w:rsid w:val="00357622"/>
    <w:rsid w:val="003609BA"/>
    <w:rsid w:val="00365629"/>
    <w:rsid w:val="003662F6"/>
    <w:rsid w:val="00381D28"/>
    <w:rsid w:val="003866B8"/>
    <w:rsid w:val="00387670"/>
    <w:rsid w:val="003903D5"/>
    <w:rsid w:val="003A04A8"/>
    <w:rsid w:val="003A04B3"/>
    <w:rsid w:val="003A566E"/>
    <w:rsid w:val="003B0AD8"/>
    <w:rsid w:val="003B6871"/>
    <w:rsid w:val="003B7FB2"/>
    <w:rsid w:val="003C6376"/>
    <w:rsid w:val="003D27DE"/>
    <w:rsid w:val="003E076E"/>
    <w:rsid w:val="003E1401"/>
    <w:rsid w:val="003E213E"/>
    <w:rsid w:val="003E3B06"/>
    <w:rsid w:val="003F2E26"/>
    <w:rsid w:val="00400ED2"/>
    <w:rsid w:val="004114E6"/>
    <w:rsid w:val="0041309D"/>
    <w:rsid w:val="00420BCB"/>
    <w:rsid w:val="004302A0"/>
    <w:rsid w:val="00431935"/>
    <w:rsid w:val="00434281"/>
    <w:rsid w:val="00436C65"/>
    <w:rsid w:val="004406D1"/>
    <w:rsid w:val="0044353A"/>
    <w:rsid w:val="00444C38"/>
    <w:rsid w:val="00447F17"/>
    <w:rsid w:val="00452B6A"/>
    <w:rsid w:val="004534BF"/>
    <w:rsid w:val="004551AB"/>
    <w:rsid w:val="00455B6A"/>
    <w:rsid w:val="00461985"/>
    <w:rsid w:val="00464B6A"/>
    <w:rsid w:val="004676E2"/>
    <w:rsid w:val="0047074A"/>
    <w:rsid w:val="00470FB3"/>
    <w:rsid w:val="00486E8D"/>
    <w:rsid w:val="00487AF6"/>
    <w:rsid w:val="00493A21"/>
    <w:rsid w:val="00497058"/>
    <w:rsid w:val="004A06B3"/>
    <w:rsid w:val="004A34CC"/>
    <w:rsid w:val="004B38D9"/>
    <w:rsid w:val="004B4294"/>
    <w:rsid w:val="004B4849"/>
    <w:rsid w:val="004B5FD2"/>
    <w:rsid w:val="004B6370"/>
    <w:rsid w:val="004C140B"/>
    <w:rsid w:val="004C2EFA"/>
    <w:rsid w:val="004C7021"/>
    <w:rsid w:val="004C779E"/>
    <w:rsid w:val="004D05CF"/>
    <w:rsid w:val="004D4B5D"/>
    <w:rsid w:val="004D6B04"/>
    <w:rsid w:val="004E2B05"/>
    <w:rsid w:val="004E78D7"/>
    <w:rsid w:val="004F1E8B"/>
    <w:rsid w:val="0050777F"/>
    <w:rsid w:val="00507DFC"/>
    <w:rsid w:val="00530B6E"/>
    <w:rsid w:val="0053298B"/>
    <w:rsid w:val="005348C5"/>
    <w:rsid w:val="005352EF"/>
    <w:rsid w:val="005403A0"/>
    <w:rsid w:val="00541EA8"/>
    <w:rsid w:val="0054514C"/>
    <w:rsid w:val="00550869"/>
    <w:rsid w:val="005521CD"/>
    <w:rsid w:val="00557AF1"/>
    <w:rsid w:val="00563A96"/>
    <w:rsid w:val="00564902"/>
    <w:rsid w:val="00564CCA"/>
    <w:rsid w:val="00570C27"/>
    <w:rsid w:val="005769A3"/>
    <w:rsid w:val="00593C99"/>
    <w:rsid w:val="005A2E37"/>
    <w:rsid w:val="005A526E"/>
    <w:rsid w:val="005B10F5"/>
    <w:rsid w:val="005B1470"/>
    <w:rsid w:val="005B1725"/>
    <w:rsid w:val="005B7DC7"/>
    <w:rsid w:val="005C3ABC"/>
    <w:rsid w:val="005C666F"/>
    <w:rsid w:val="005D322B"/>
    <w:rsid w:val="005E31F4"/>
    <w:rsid w:val="00601025"/>
    <w:rsid w:val="00605A24"/>
    <w:rsid w:val="006066BC"/>
    <w:rsid w:val="00610AD6"/>
    <w:rsid w:val="006113A5"/>
    <w:rsid w:val="00621046"/>
    <w:rsid w:val="006216E1"/>
    <w:rsid w:val="00621F93"/>
    <w:rsid w:val="006315AD"/>
    <w:rsid w:val="00632143"/>
    <w:rsid w:val="00632FF3"/>
    <w:rsid w:val="00635C62"/>
    <w:rsid w:val="006408C6"/>
    <w:rsid w:val="00647CEA"/>
    <w:rsid w:val="0065172C"/>
    <w:rsid w:val="00661C66"/>
    <w:rsid w:val="006667B2"/>
    <w:rsid w:val="006741CD"/>
    <w:rsid w:val="00675905"/>
    <w:rsid w:val="00694765"/>
    <w:rsid w:val="006A5E5E"/>
    <w:rsid w:val="006A6314"/>
    <w:rsid w:val="006A6556"/>
    <w:rsid w:val="006A669D"/>
    <w:rsid w:val="006A6C85"/>
    <w:rsid w:val="006A6FC6"/>
    <w:rsid w:val="006B2252"/>
    <w:rsid w:val="006D40DD"/>
    <w:rsid w:val="006E068B"/>
    <w:rsid w:val="006E1AFB"/>
    <w:rsid w:val="006E2FD5"/>
    <w:rsid w:val="006F18A9"/>
    <w:rsid w:val="006F479E"/>
    <w:rsid w:val="006F4AFF"/>
    <w:rsid w:val="006F6833"/>
    <w:rsid w:val="006F7E7F"/>
    <w:rsid w:val="00705B92"/>
    <w:rsid w:val="0070699A"/>
    <w:rsid w:val="00715A6C"/>
    <w:rsid w:val="00727658"/>
    <w:rsid w:val="00737F7D"/>
    <w:rsid w:val="00741823"/>
    <w:rsid w:val="007427C9"/>
    <w:rsid w:val="00747559"/>
    <w:rsid w:val="00752B3F"/>
    <w:rsid w:val="00760CC0"/>
    <w:rsid w:val="00765DB0"/>
    <w:rsid w:val="00767190"/>
    <w:rsid w:val="00767261"/>
    <w:rsid w:val="00771648"/>
    <w:rsid w:val="007764D8"/>
    <w:rsid w:val="007767A0"/>
    <w:rsid w:val="00776CE4"/>
    <w:rsid w:val="00777360"/>
    <w:rsid w:val="007773DA"/>
    <w:rsid w:val="00780152"/>
    <w:rsid w:val="0078233C"/>
    <w:rsid w:val="0078274C"/>
    <w:rsid w:val="00786D33"/>
    <w:rsid w:val="00791A22"/>
    <w:rsid w:val="00791C78"/>
    <w:rsid w:val="00793F84"/>
    <w:rsid w:val="00795288"/>
    <w:rsid w:val="007A446B"/>
    <w:rsid w:val="007A4BAE"/>
    <w:rsid w:val="007B0D8A"/>
    <w:rsid w:val="007B214C"/>
    <w:rsid w:val="007B21CC"/>
    <w:rsid w:val="007B74D2"/>
    <w:rsid w:val="007B7C6E"/>
    <w:rsid w:val="007D75B1"/>
    <w:rsid w:val="007E2C7B"/>
    <w:rsid w:val="007E6047"/>
    <w:rsid w:val="007F10F7"/>
    <w:rsid w:val="007F2563"/>
    <w:rsid w:val="00801CCA"/>
    <w:rsid w:val="00813E13"/>
    <w:rsid w:val="00813E29"/>
    <w:rsid w:val="00822C1B"/>
    <w:rsid w:val="00833F44"/>
    <w:rsid w:val="0083727E"/>
    <w:rsid w:val="00837D6C"/>
    <w:rsid w:val="0084017B"/>
    <w:rsid w:val="008452E3"/>
    <w:rsid w:val="00854BDD"/>
    <w:rsid w:val="00856B76"/>
    <w:rsid w:val="008572DF"/>
    <w:rsid w:val="00866C61"/>
    <w:rsid w:val="00871212"/>
    <w:rsid w:val="00871C96"/>
    <w:rsid w:val="0087637B"/>
    <w:rsid w:val="00881DD5"/>
    <w:rsid w:val="00887606"/>
    <w:rsid w:val="0089110D"/>
    <w:rsid w:val="00891A93"/>
    <w:rsid w:val="00892255"/>
    <w:rsid w:val="008A7235"/>
    <w:rsid w:val="008B1A9F"/>
    <w:rsid w:val="008C335B"/>
    <w:rsid w:val="008C711B"/>
    <w:rsid w:val="008D12F4"/>
    <w:rsid w:val="008D6B08"/>
    <w:rsid w:val="008D76BA"/>
    <w:rsid w:val="008E4E4A"/>
    <w:rsid w:val="008E71AC"/>
    <w:rsid w:val="0090086B"/>
    <w:rsid w:val="00904F9D"/>
    <w:rsid w:val="009065D3"/>
    <w:rsid w:val="0091436B"/>
    <w:rsid w:val="009154B4"/>
    <w:rsid w:val="0092181F"/>
    <w:rsid w:val="00924738"/>
    <w:rsid w:val="00926D02"/>
    <w:rsid w:val="00926FC0"/>
    <w:rsid w:val="0093724B"/>
    <w:rsid w:val="00941710"/>
    <w:rsid w:val="009465C5"/>
    <w:rsid w:val="00950461"/>
    <w:rsid w:val="009505B3"/>
    <w:rsid w:val="00950648"/>
    <w:rsid w:val="00950AAE"/>
    <w:rsid w:val="00951831"/>
    <w:rsid w:val="00953D4A"/>
    <w:rsid w:val="0096039F"/>
    <w:rsid w:val="00961856"/>
    <w:rsid w:val="00964B51"/>
    <w:rsid w:val="00965631"/>
    <w:rsid w:val="00967E82"/>
    <w:rsid w:val="00973723"/>
    <w:rsid w:val="00974D08"/>
    <w:rsid w:val="00975C41"/>
    <w:rsid w:val="00980C5F"/>
    <w:rsid w:val="00984F20"/>
    <w:rsid w:val="00985253"/>
    <w:rsid w:val="009854AD"/>
    <w:rsid w:val="00985A53"/>
    <w:rsid w:val="00991412"/>
    <w:rsid w:val="009977C9"/>
    <w:rsid w:val="009A07E8"/>
    <w:rsid w:val="009A14C4"/>
    <w:rsid w:val="009B17E0"/>
    <w:rsid w:val="009B353B"/>
    <w:rsid w:val="009B3EE5"/>
    <w:rsid w:val="009B7770"/>
    <w:rsid w:val="009B7B2D"/>
    <w:rsid w:val="009C0CC4"/>
    <w:rsid w:val="009C1A47"/>
    <w:rsid w:val="009C5E39"/>
    <w:rsid w:val="009C7A75"/>
    <w:rsid w:val="009D00EE"/>
    <w:rsid w:val="009D15B5"/>
    <w:rsid w:val="009E0988"/>
    <w:rsid w:val="009E0F59"/>
    <w:rsid w:val="009F05E7"/>
    <w:rsid w:val="009F5BA3"/>
    <w:rsid w:val="00A0314D"/>
    <w:rsid w:val="00A13710"/>
    <w:rsid w:val="00A1644A"/>
    <w:rsid w:val="00A234A4"/>
    <w:rsid w:val="00A276E0"/>
    <w:rsid w:val="00A31B48"/>
    <w:rsid w:val="00A36F57"/>
    <w:rsid w:val="00A40610"/>
    <w:rsid w:val="00A47586"/>
    <w:rsid w:val="00A5035D"/>
    <w:rsid w:val="00A636FD"/>
    <w:rsid w:val="00A64CC5"/>
    <w:rsid w:val="00A667D4"/>
    <w:rsid w:val="00A70A4C"/>
    <w:rsid w:val="00A755BA"/>
    <w:rsid w:val="00A865B8"/>
    <w:rsid w:val="00AA12EC"/>
    <w:rsid w:val="00AA5D26"/>
    <w:rsid w:val="00AA6EC7"/>
    <w:rsid w:val="00AA7231"/>
    <w:rsid w:val="00AB1A8E"/>
    <w:rsid w:val="00AC3577"/>
    <w:rsid w:val="00AC7440"/>
    <w:rsid w:val="00AD6429"/>
    <w:rsid w:val="00AE0B36"/>
    <w:rsid w:val="00AE0B6E"/>
    <w:rsid w:val="00AF5456"/>
    <w:rsid w:val="00AF5B8E"/>
    <w:rsid w:val="00AF7281"/>
    <w:rsid w:val="00B07AF7"/>
    <w:rsid w:val="00B11362"/>
    <w:rsid w:val="00B12F72"/>
    <w:rsid w:val="00B1721B"/>
    <w:rsid w:val="00B17B35"/>
    <w:rsid w:val="00B36C31"/>
    <w:rsid w:val="00B40348"/>
    <w:rsid w:val="00B4145B"/>
    <w:rsid w:val="00B42400"/>
    <w:rsid w:val="00B47332"/>
    <w:rsid w:val="00B674C5"/>
    <w:rsid w:val="00B729A8"/>
    <w:rsid w:val="00B76C3F"/>
    <w:rsid w:val="00B80A86"/>
    <w:rsid w:val="00B84973"/>
    <w:rsid w:val="00B901BA"/>
    <w:rsid w:val="00B96C20"/>
    <w:rsid w:val="00BA624F"/>
    <w:rsid w:val="00BB43B2"/>
    <w:rsid w:val="00BB7F93"/>
    <w:rsid w:val="00BC66DB"/>
    <w:rsid w:val="00BD4D65"/>
    <w:rsid w:val="00BE0629"/>
    <w:rsid w:val="00BF2C90"/>
    <w:rsid w:val="00BF2F8A"/>
    <w:rsid w:val="00C01376"/>
    <w:rsid w:val="00C04CE3"/>
    <w:rsid w:val="00C05959"/>
    <w:rsid w:val="00C075E1"/>
    <w:rsid w:val="00C07B5B"/>
    <w:rsid w:val="00C104AD"/>
    <w:rsid w:val="00C153A3"/>
    <w:rsid w:val="00C16292"/>
    <w:rsid w:val="00C220DB"/>
    <w:rsid w:val="00C235EE"/>
    <w:rsid w:val="00C245E6"/>
    <w:rsid w:val="00C24C03"/>
    <w:rsid w:val="00C273F9"/>
    <w:rsid w:val="00C3246A"/>
    <w:rsid w:val="00C3424D"/>
    <w:rsid w:val="00C35D24"/>
    <w:rsid w:val="00C3723C"/>
    <w:rsid w:val="00C5192E"/>
    <w:rsid w:val="00C540FA"/>
    <w:rsid w:val="00C542EE"/>
    <w:rsid w:val="00C5599A"/>
    <w:rsid w:val="00C5739E"/>
    <w:rsid w:val="00C600A0"/>
    <w:rsid w:val="00C67FA9"/>
    <w:rsid w:val="00C80A5B"/>
    <w:rsid w:val="00C82BD4"/>
    <w:rsid w:val="00C82E3A"/>
    <w:rsid w:val="00C922B9"/>
    <w:rsid w:val="00C9587B"/>
    <w:rsid w:val="00CA7920"/>
    <w:rsid w:val="00CC020E"/>
    <w:rsid w:val="00CC07C6"/>
    <w:rsid w:val="00CC15A6"/>
    <w:rsid w:val="00CD07D1"/>
    <w:rsid w:val="00CD248D"/>
    <w:rsid w:val="00CD6B86"/>
    <w:rsid w:val="00CD7242"/>
    <w:rsid w:val="00CD741B"/>
    <w:rsid w:val="00CE079E"/>
    <w:rsid w:val="00CE4613"/>
    <w:rsid w:val="00CE4841"/>
    <w:rsid w:val="00CF1218"/>
    <w:rsid w:val="00CF31E0"/>
    <w:rsid w:val="00CF6D4F"/>
    <w:rsid w:val="00CF7D31"/>
    <w:rsid w:val="00D03A86"/>
    <w:rsid w:val="00D07DF6"/>
    <w:rsid w:val="00D11A73"/>
    <w:rsid w:val="00D2104C"/>
    <w:rsid w:val="00D30C54"/>
    <w:rsid w:val="00D34598"/>
    <w:rsid w:val="00D36DD2"/>
    <w:rsid w:val="00D37B95"/>
    <w:rsid w:val="00D542D8"/>
    <w:rsid w:val="00D54D27"/>
    <w:rsid w:val="00D622C6"/>
    <w:rsid w:val="00D66093"/>
    <w:rsid w:val="00D67A97"/>
    <w:rsid w:val="00D74618"/>
    <w:rsid w:val="00D75E40"/>
    <w:rsid w:val="00D80CFF"/>
    <w:rsid w:val="00D8487E"/>
    <w:rsid w:val="00D87D14"/>
    <w:rsid w:val="00D9519E"/>
    <w:rsid w:val="00D96A78"/>
    <w:rsid w:val="00DA22FF"/>
    <w:rsid w:val="00DA3B12"/>
    <w:rsid w:val="00DB0310"/>
    <w:rsid w:val="00DB142B"/>
    <w:rsid w:val="00DB1E05"/>
    <w:rsid w:val="00DB33AE"/>
    <w:rsid w:val="00DB57E2"/>
    <w:rsid w:val="00DB5B20"/>
    <w:rsid w:val="00DB789B"/>
    <w:rsid w:val="00DB7F94"/>
    <w:rsid w:val="00DD4A7E"/>
    <w:rsid w:val="00DD7E91"/>
    <w:rsid w:val="00DE22DE"/>
    <w:rsid w:val="00DE2CD8"/>
    <w:rsid w:val="00DE64F1"/>
    <w:rsid w:val="00DF21EA"/>
    <w:rsid w:val="00DF6855"/>
    <w:rsid w:val="00E0061F"/>
    <w:rsid w:val="00E00B98"/>
    <w:rsid w:val="00E046EB"/>
    <w:rsid w:val="00E161B6"/>
    <w:rsid w:val="00E1721C"/>
    <w:rsid w:val="00E21723"/>
    <w:rsid w:val="00E25765"/>
    <w:rsid w:val="00E30824"/>
    <w:rsid w:val="00E3436F"/>
    <w:rsid w:val="00E43636"/>
    <w:rsid w:val="00E43750"/>
    <w:rsid w:val="00E50551"/>
    <w:rsid w:val="00E51BFF"/>
    <w:rsid w:val="00E57D6E"/>
    <w:rsid w:val="00E71A01"/>
    <w:rsid w:val="00E75845"/>
    <w:rsid w:val="00E87BDB"/>
    <w:rsid w:val="00EA0070"/>
    <w:rsid w:val="00EA1C9D"/>
    <w:rsid w:val="00EA298E"/>
    <w:rsid w:val="00EB15CD"/>
    <w:rsid w:val="00EB270B"/>
    <w:rsid w:val="00EB31D8"/>
    <w:rsid w:val="00EB44FD"/>
    <w:rsid w:val="00EB4CDE"/>
    <w:rsid w:val="00EC03F9"/>
    <w:rsid w:val="00EC2197"/>
    <w:rsid w:val="00ED29B2"/>
    <w:rsid w:val="00ED3EE0"/>
    <w:rsid w:val="00ED45DB"/>
    <w:rsid w:val="00ED4C02"/>
    <w:rsid w:val="00ED6023"/>
    <w:rsid w:val="00EE0CE8"/>
    <w:rsid w:val="00EE2884"/>
    <w:rsid w:val="00EF17E3"/>
    <w:rsid w:val="00EF1ED8"/>
    <w:rsid w:val="00EF292E"/>
    <w:rsid w:val="00EF49D2"/>
    <w:rsid w:val="00F01B4C"/>
    <w:rsid w:val="00F035E3"/>
    <w:rsid w:val="00F04DD6"/>
    <w:rsid w:val="00F14AA0"/>
    <w:rsid w:val="00F31F31"/>
    <w:rsid w:val="00F32EFC"/>
    <w:rsid w:val="00F3542B"/>
    <w:rsid w:val="00F53D40"/>
    <w:rsid w:val="00F54F13"/>
    <w:rsid w:val="00F63147"/>
    <w:rsid w:val="00F6380E"/>
    <w:rsid w:val="00F64DB5"/>
    <w:rsid w:val="00F67CD9"/>
    <w:rsid w:val="00F77943"/>
    <w:rsid w:val="00F77988"/>
    <w:rsid w:val="00F77B7D"/>
    <w:rsid w:val="00F9081E"/>
    <w:rsid w:val="00F947C4"/>
    <w:rsid w:val="00FA04EC"/>
    <w:rsid w:val="00FA48E5"/>
    <w:rsid w:val="00FA4D0C"/>
    <w:rsid w:val="00FB3910"/>
    <w:rsid w:val="00FC2DED"/>
    <w:rsid w:val="00FC719B"/>
    <w:rsid w:val="00FD4989"/>
    <w:rsid w:val="00FD5165"/>
    <w:rsid w:val="00FE626E"/>
    <w:rsid w:val="00FF299C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E78D9-B497-45C5-9D24-0DAFCD9C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E29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B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B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B142B"/>
    <w:rPr>
      <w:color w:val="0000FF" w:themeColor="hyperlink"/>
      <w:u w:val="single"/>
    </w:rPr>
  </w:style>
  <w:style w:type="paragraph" w:styleId="a6">
    <w:name w:val="Body Text Indent"/>
    <w:aliases w:val="текст"/>
    <w:basedOn w:val="a"/>
    <w:link w:val="a7"/>
    <w:uiPriority w:val="99"/>
    <w:rsid w:val="00295F65"/>
    <w:pPr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aliases w:val="текст Знак"/>
    <w:basedOn w:val="a0"/>
    <w:link w:val="a6"/>
    <w:uiPriority w:val="99"/>
    <w:rsid w:val="00295F65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A14C4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B76C3F"/>
    <w:rPr>
      <w:color w:val="605E5C"/>
      <w:shd w:val="clear" w:color="auto" w:fill="E1DFDD"/>
    </w:rPr>
  </w:style>
  <w:style w:type="character" w:styleId="a8">
    <w:name w:val="Unresolved Mention"/>
    <w:basedOn w:val="a0"/>
    <w:uiPriority w:val="99"/>
    <w:semiHidden/>
    <w:unhideWhenUsed/>
    <w:rsid w:val="00651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m.roseltorg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.roseltorg.ru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Stimulsoft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Stimulsoft Reports 2012.2.1400 from 13 September 2012</dc:creator>
  <cp:lastModifiedBy>Шестеркина Светлана Васильевна</cp:lastModifiedBy>
  <cp:revision>30</cp:revision>
  <cp:lastPrinted>2019-01-18T11:38:00Z</cp:lastPrinted>
  <dcterms:created xsi:type="dcterms:W3CDTF">2024-12-25T06:41:00Z</dcterms:created>
  <dcterms:modified xsi:type="dcterms:W3CDTF">2025-08-13T10:37:00Z</dcterms:modified>
</cp:coreProperties>
</file>