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FF" w:rsidRPr="004245FF" w:rsidRDefault="004245FF" w:rsidP="004245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4245F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УТВЕРЖДАЮ:</w:t>
      </w:r>
    </w:p>
    <w:p w:rsidR="004245FF" w:rsidRPr="004245FF" w:rsidRDefault="00194919" w:rsidP="00ED2FA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. заместителя</w:t>
      </w:r>
      <w:r w:rsidR="00ED2FA7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="004245FF" w:rsidRPr="004245F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руководителя ГКУ «ГУСКК»  </w:t>
      </w:r>
    </w:p>
    <w:p w:rsidR="004245FF" w:rsidRPr="004245FF" w:rsidRDefault="004245FF" w:rsidP="004245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4245F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_____________________</w:t>
      </w:r>
      <w:r w:rsidR="0019491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С.А. Власов</w:t>
      </w:r>
      <w:bookmarkStart w:id="0" w:name="_GoBack"/>
      <w:bookmarkEnd w:id="0"/>
    </w:p>
    <w:p w:rsidR="004245FF" w:rsidRPr="004245FF" w:rsidRDefault="004245FF" w:rsidP="004245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4245F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"___" ______________________ 2021г.</w:t>
      </w:r>
    </w:p>
    <w:p w:rsidR="004245FF" w:rsidRPr="004245FF" w:rsidRDefault="004245FF" w:rsidP="004245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4245F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М.П.</w:t>
      </w:r>
    </w:p>
    <w:p w:rsidR="00D506D9" w:rsidRPr="00D506D9" w:rsidRDefault="00D506D9" w:rsidP="00D506D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046CD7" w:rsidRPr="00373AD4" w:rsidRDefault="00046CD7" w:rsidP="00046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AD4">
        <w:rPr>
          <w:rFonts w:ascii="Times New Roman" w:hAnsi="Times New Roman" w:cs="Times New Roman"/>
          <w:b/>
          <w:sz w:val="24"/>
          <w:szCs w:val="24"/>
        </w:rPr>
        <w:t xml:space="preserve">РАЗДЕЛ 4  ПОРЯДОК ПРЕДОСТАВЛЕНИЯ ОБЕСПЕЧЕНИЯ ЗАЯВОК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73AD4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>
        <w:rPr>
          <w:rFonts w:ascii="Times New Roman" w:hAnsi="Times New Roman" w:cs="Times New Roman"/>
          <w:b/>
          <w:sz w:val="24"/>
          <w:szCs w:val="24"/>
        </w:rPr>
        <w:t>В ЗАКУПКЕ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Согласно </w:t>
      </w:r>
      <w:hyperlink r:id="rId5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части 2 статьи 44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 закупки в виде денежных средств или банковской гарантии.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Выбор способа обеспечения заявки на участие в закупке осуществляется участником такой закупки.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Обеспечение заявки на участие в закупке предоставляется в размере, указанном в извещении об осуществлении закупки и документации о закупке.</w:t>
      </w:r>
    </w:p>
    <w:p w:rsidR="00046CD7" w:rsidRPr="00373AD4" w:rsidRDefault="00046CD7" w:rsidP="00046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:rsidR="00046CD7" w:rsidRPr="00373AD4" w:rsidRDefault="00046CD7" w:rsidP="00046CD7">
      <w:pPr>
        <w:widowControl w:val="0"/>
        <w:tabs>
          <w:tab w:val="num" w:pos="827"/>
        </w:tabs>
        <w:adjustRightInd w:val="0"/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ru-RU"/>
        </w:rPr>
      </w:pP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bookmarkStart w:id="1" w:name="sub_3001"/>
      <w:r w:rsidRPr="0019736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  <w:t>Часть 1. Внесение денежных средств в качестве обеспечения заявки</w:t>
      </w:r>
    </w:p>
    <w:bookmarkEnd w:id="1"/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Денежные средства, предназначенные для обеспечения заявок, вносятся участниками закупок на специальные счета, открытые ими в банках, </w:t>
      </w:r>
      <w:hyperlink r:id="rId6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перечень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которых утвержден </w:t>
      </w:r>
      <w:hyperlink r:id="rId7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распоряжением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13.07.2018 № 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 электронной форме, электронного аукциона, а также денежные средства участников закрытых электронных процедур» (далее – специальный счет).</w:t>
      </w:r>
    </w:p>
    <w:p w:rsidR="0077548A" w:rsidRPr="00197369" w:rsidRDefault="00194919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hyperlink r:id="rId8" w:history="1">
        <w:r w:rsidR="0077548A"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Требования</w:t>
        </w:r>
      </w:hyperlink>
      <w:r w:rsidR="0077548A"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к договору специального счета, к порядку использования имеющегося у участника закупки банковского счета в качестве специального счета установлены </w:t>
      </w:r>
      <w:hyperlink r:id="rId9" w:history="1">
        <w:r w:rsidR="0077548A"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постановлением</w:t>
        </w:r>
      </w:hyperlink>
      <w:r w:rsidR="0077548A"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30.05.2018 № 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электронном аукционе».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Обеспечение заявки на участие в закупке возможно путем блокирования денежных средств при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</w:t>
      </w: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lastRenderedPageBreak/>
        <w:t xml:space="preserve">соответствии с требованиями </w:t>
      </w:r>
      <w:hyperlink r:id="rId10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статьи 44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bookmarkStart w:id="2" w:name="_Hlk31963695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Федерального закона </w:t>
      </w:r>
      <w:bookmarkEnd w:id="2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№ 44-ФЗ.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</w:t>
      </w:r>
      <w:hyperlink r:id="rId11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статьей 45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заявки не осуществляется.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В случаях, установленных </w:t>
      </w:r>
      <w:hyperlink r:id="rId12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статьей 44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77548A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bookmarkStart w:id="3" w:name="sub_3002"/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  <w:t>Часть 2. Банковская гарантия</w:t>
      </w:r>
    </w:p>
    <w:bookmarkEnd w:id="3"/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4" w:name="sub_3201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13" w:history="1">
        <w:r w:rsidRPr="00C4058F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 xml:space="preserve">частью 1.2 статьи 45 </w:t>
        </w:r>
      </w:hyperlink>
      <w:r w:rsidRPr="00C4058F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Федерального закона № 44-ФЗ</w:t>
      </w: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(с учетом требований частей 1.3 – 1.6 статьи 45 Федерального закона № 44-ФЗ).</w:t>
      </w:r>
    </w:p>
    <w:bookmarkEnd w:id="4"/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5" w:name="sub_3202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2. Банковская гарантия должна быть безотзывной и должна содержать: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6" w:name="sub_32001"/>
      <w:bookmarkEnd w:id="5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1) сумму банковской гарантии, подлежащую уплате гарантом заказчику в случаях, установленных </w:t>
      </w:r>
      <w:hyperlink r:id="rId14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частью 15 статьи 44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44-ФЗ;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7" w:name="sub_32002"/>
      <w:bookmarkEnd w:id="6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2) обязательства принципала, надлежащее исполнение которых обеспечивается банковской гарантией: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8" w:name="sub_32003"/>
      <w:bookmarkEnd w:id="7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3) обязанность гаранта уплатить заказчику неустойку в размере 0,1% денежной суммы, подлежащей уплате, за каждый день просрочки;</w:t>
      </w:r>
    </w:p>
    <w:p w:rsidR="0077548A" w:rsidRPr="00197369" w:rsidRDefault="0077548A" w:rsidP="0077548A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9" w:name="sub_32004"/>
      <w:bookmarkEnd w:id="8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bookmarkEnd w:id="9"/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ИНН 2310068690</w:t>
      </w:r>
    </w:p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КПП </w:t>
      </w:r>
      <w:r w:rsidR="00F37D37">
        <w:rPr>
          <w:rFonts w:ascii="Times New Roman" w:eastAsia="Times New Roman" w:hAnsi="Times New Roman" w:cs="Times New Roman"/>
          <w:noProof w:val="0"/>
          <w:sz w:val="24"/>
          <w:szCs w:val="24"/>
        </w:rPr>
        <w:t>230801001</w:t>
      </w:r>
    </w:p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Получа</w:t>
      </w:r>
      <w:r w:rsidR="000B7BCF">
        <w:rPr>
          <w:rFonts w:ascii="Times New Roman" w:eastAsia="Times New Roman" w:hAnsi="Times New Roman" w:cs="Times New Roman"/>
          <w:noProof w:val="0"/>
          <w:sz w:val="24"/>
          <w:szCs w:val="24"/>
        </w:rPr>
        <w:t>тель: Минфин КК л/с 02182000050</w:t>
      </w: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(ГКУ «ГУСКК» л/с 824.41.044.0)</w:t>
      </w:r>
    </w:p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Банк получателя: Южное ГУ Банка России// УФК по Краснодарскому краю г. Краснодар</w:t>
      </w:r>
    </w:p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БИК ТОФК 010349101</w:t>
      </w:r>
    </w:p>
    <w:p w:rsidR="00CB15D2" w:rsidRP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Единый казначейский счет 40102810945370000010</w:t>
      </w:r>
    </w:p>
    <w:p w:rsidR="00CB15D2" w:rsidRDefault="00CB15D2" w:rsidP="00CB1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Казначейский счет 0322</w:t>
      </w:r>
      <w:r w:rsidR="00567D7D">
        <w:rPr>
          <w:rFonts w:ascii="Times New Roman" w:eastAsia="Times New Roman" w:hAnsi="Times New Roman" w:cs="Times New Roman"/>
          <w:noProof w:val="0"/>
          <w:sz w:val="24"/>
          <w:szCs w:val="24"/>
        </w:rPr>
        <w:t>2</w:t>
      </w:r>
      <w:r w:rsidRPr="00CB15D2">
        <w:rPr>
          <w:rFonts w:ascii="Times New Roman" w:eastAsia="Times New Roman" w:hAnsi="Times New Roman" w:cs="Times New Roman"/>
          <w:noProof w:val="0"/>
          <w:sz w:val="24"/>
          <w:szCs w:val="24"/>
        </w:rPr>
        <w:t>643030000001800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5) срок действия банковской гарантии, предоставленной в качестве обеспечения заявки (должен составлять не менее чем два месяца с даты окончания срока подачи заявок);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0" w:name="sub_32006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6) </w:t>
      </w:r>
      <w:hyperlink r:id="rId15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перечень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документов, предоставляемых заказчиком банку одновременно с </w:t>
      </w: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lastRenderedPageBreak/>
        <w:t xml:space="preserve">требованием об осуществлении уплаты денежной суммы по банковской гарантии, установленный </w:t>
      </w:r>
      <w:hyperlink r:id="rId16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постановлением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bookmarkStart w:id="11" w:name="_Hlk32395229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(далее – постановление № 1005)</w:t>
      </w:r>
      <w:bookmarkEnd w:id="11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2" w:name="sub_32007"/>
      <w:bookmarkEnd w:id="10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7)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3" w:name="sub_32008"/>
      <w:bookmarkEnd w:id="12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8) права заказчика в случаях, установленных </w:t>
      </w:r>
      <w:hyperlink r:id="rId17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частью 15 статьи 44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4" w:name="sub_32009"/>
      <w:bookmarkEnd w:id="13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9)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5" w:name="sub_32010"/>
      <w:bookmarkEnd w:id="14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10) 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6" w:name="sub_3203"/>
      <w:bookmarkEnd w:id="15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3. Недопустимо включать в банковскую гарантию:</w:t>
      </w:r>
    </w:p>
    <w:bookmarkEnd w:id="16"/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непредоставления</w:t>
      </w:r>
      <w:proofErr w:type="spellEnd"/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требования о предоставлении заказчиком гаранту отчета об исполнении контракта, гарантийных обязательств;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8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перечень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</w:t>
      </w:r>
      <w:hyperlink r:id="rId19" w:history="1">
        <w:r w:rsidRPr="00197369">
          <w:rPr>
            <w:rFonts w:ascii="Times New Roman" w:eastAsia="Times New Roman" w:hAnsi="Times New Roman" w:cs="Times New Roman"/>
            <w:noProof w:val="0"/>
            <w:sz w:val="24"/>
            <w:szCs w:val="24"/>
            <w:lang w:eastAsia="ru-RU"/>
          </w:rPr>
          <w:t>постановлением</w:t>
        </w:r>
      </w:hyperlink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№ 1005; </w:t>
      </w:r>
    </w:p>
    <w:p w:rsidR="00D94DAC" w:rsidRPr="00197369" w:rsidRDefault="00D94DAC" w:rsidP="00D94DAC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19736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046CD7" w:rsidRDefault="00046CD7" w:rsidP="00046CD7">
      <w:pPr>
        <w:widowControl w:val="0"/>
        <w:tabs>
          <w:tab w:val="num" w:pos="827"/>
        </w:tabs>
        <w:adjustRightInd w:val="0"/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ru-RU"/>
        </w:rPr>
      </w:pPr>
    </w:p>
    <w:p w:rsidR="00E2560D" w:rsidRDefault="00E2560D" w:rsidP="00A1190D">
      <w:pPr>
        <w:widowControl w:val="0"/>
        <w:tabs>
          <w:tab w:val="num" w:pos="827"/>
        </w:tabs>
        <w:adjustRightInd w:val="0"/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ru-RU"/>
        </w:rPr>
      </w:pPr>
    </w:p>
    <w:p w:rsidR="00A1190D" w:rsidRPr="00E2560D" w:rsidRDefault="00A1190D" w:rsidP="00A11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:rsidR="007B7033" w:rsidRPr="00373AD4" w:rsidRDefault="007B7033" w:rsidP="00A119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</w:p>
    <w:sectPr w:rsidR="007B7033" w:rsidRPr="00373AD4" w:rsidSect="00373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3EE"/>
    <w:rsid w:val="00002BAB"/>
    <w:rsid w:val="000161FB"/>
    <w:rsid w:val="00032461"/>
    <w:rsid w:val="00036653"/>
    <w:rsid w:val="000461CD"/>
    <w:rsid w:val="00046CD7"/>
    <w:rsid w:val="000510B4"/>
    <w:rsid w:val="00072755"/>
    <w:rsid w:val="000B7BCF"/>
    <w:rsid w:val="000E5929"/>
    <w:rsid w:val="000F4B4A"/>
    <w:rsid w:val="00115232"/>
    <w:rsid w:val="001735D3"/>
    <w:rsid w:val="00180F68"/>
    <w:rsid w:val="00194919"/>
    <w:rsid w:val="00194CA7"/>
    <w:rsid w:val="001C5CF4"/>
    <w:rsid w:val="001D107B"/>
    <w:rsid w:val="002128E7"/>
    <w:rsid w:val="00215578"/>
    <w:rsid w:val="002261B4"/>
    <w:rsid w:val="002402D8"/>
    <w:rsid w:val="002546C3"/>
    <w:rsid w:val="002773EE"/>
    <w:rsid w:val="0028221A"/>
    <w:rsid w:val="00292893"/>
    <w:rsid w:val="002C3687"/>
    <w:rsid w:val="002E2BEA"/>
    <w:rsid w:val="002F1317"/>
    <w:rsid w:val="00373AD4"/>
    <w:rsid w:val="004245FF"/>
    <w:rsid w:val="00444944"/>
    <w:rsid w:val="0049052D"/>
    <w:rsid w:val="00493538"/>
    <w:rsid w:val="004A3172"/>
    <w:rsid w:val="004C0252"/>
    <w:rsid w:val="004C3B44"/>
    <w:rsid w:val="004F7D99"/>
    <w:rsid w:val="00567D7D"/>
    <w:rsid w:val="005809AF"/>
    <w:rsid w:val="005844F4"/>
    <w:rsid w:val="005E4B75"/>
    <w:rsid w:val="005F3F14"/>
    <w:rsid w:val="0060376E"/>
    <w:rsid w:val="0065541A"/>
    <w:rsid w:val="00677F56"/>
    <w:rsid w:val="006F3273"/>
    <w:rsid w:val="0077548A"/>
    <w:rsid w:val="00793772"/>
    <w:rsid w:val="007B7033"/>
    <w:rsid w:val="007C7027"/>
    <w:rsid w:val="007C7ECD"/>
    <w:rsid w:val="007E6F27"/>
    <w:rsid w:val="008372D6"/>
    <w:rsid w:val="008400C3"/>
    <w:rsid w:val="00850551"/>
    <w:rsid w:val="00853D6C"/>
    <w:rsid w:val="00861729"/>
    <w:rsid w:val="00861ABC"/>
    <w:rsid w:val="00863E23"/>
    <w:rsid w:val="0087535F"/>
    <w:rsid w:val="00891EEC"/>
    <w:rsid w:val="00897541"/>
    <w:rsid w:val="008E2848"/>
    <w:rsid w:val="00913C5A"/>
    <w:rsid w:val="00975C35"/>
    <w:rsid w:val="009771C0"/>
    <w:rsid w:val="009D3D56"/>
    <w:rsid w:val="00A1190D"/>
    <w:rsid w:val="00A356A5"/>
    <w:rsid w:val="00A9049E"/>
    <w:rsid w:val="00BC4729"/>
    <w:rsid w:val="00C2295D"/>
    <w:rsid w:val="00C74FD5"/>
    <w:rsid w:val="00CB15D2"/>
    <w:rsid w:val="00CB6BC5"/>
    <w:rsid w:val="00CD22E8"/>
    <w:rsid w:val="00D2565D"/>
    <w:rsid w:val="00D506D9"/>
    <w:rsid w:val="00D63CBD"/>
    <w:rsid w:val="00D7388A"/>
    <w:rsid w:val="00D94DAC"/>
    <w:rsid w:val="00DA0C22"/>
    <w:rsid w:val="00DE25BB"/>
    <w:rsid w:val="00E2560D"/>
    <w:rsid w:val="00E305F7"/>
    <w:rsid w:val="00ED2FA7"/>
    <w:rsid w:val="00EF3D7D"/>
    <w:rsid w:val="00F2351D"/>
    <w:rsid w:val="00F27E7F"/>
    <w:rsid w:val="00F37D37"/>
    <w:rsid w:val="00F52AD3"/>
    <w:rsid w:val="00F54747"/>
    <w:rsid w:val="00F57577"/>
    <w:rsid w:val="00F70B6D"/>
    <w:rsid w:val="00F9111C"/>
    <w:rsid w:val="00FD5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DD2A"/>
  <w15:docId w15:val="{A1023F8E-4456-4722-88B1-82EDC471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a3">
    <w:name w:val="Hyperlink"/>
    <w:basedOn w:val="a0"/>
    <w:uiPriority w:val="99"/>
    <w:unhideWhenUsed/>
    <w:rsid w:val="00D63C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2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2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52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0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8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51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70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5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41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206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60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295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362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736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4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58250/1000" TargetMode="External"/><Relationship Id="rId13" Type="http://schemas.openxmlformats.org/officeDocument/2006/relationships/hyperlink" Target="http://internet.garant.ru/document/redirect/70353464/45012" TargetMode="External"/><Relationship Id="rId18" Type="http://schemas.openxmlformats.org/officeDocument/2006/relationships/hyperlink" Target="http://internet.garant.ru/document/redirect/70502258/200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document/redirect/71990282/0" TargetMode="External"/><Relationship Id="rId12" Type="http://schemas.openxmlformats.org/officeDocument/2006/relationships/hyperlink" Target="http://internet.garant.ru/document/redirect/70353464/44" TargetMode="External"/><Relationship Id="rId17" Type="http://schemas.openxmlformats.org/officeDocument/2006/relationships/hyperlink" Target="http://internet.garant.ru/document/redirect/70353464/4415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0502258/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71990282/1000" TargetMode="External"/><Relationship Id="rId11" Type="http://schemas.openxmlformats.org/officeDocument/2006/relationships/hyperlink" Target="http://internet.garant.ru/document/redirect/70353464/45" TargetMode="External"/><Relationship Id="rId5" Type="http://schemas.openxmlformats.org/officeDocument/2006/relationships/hyperlink" Target="http://internet.garant.ru/document/redirect/70353464/442" TargetMode="External"/><Relationship Id="rId15" Type="http://schemas.openxmlformats.org/officeDocument/2006/relationships/hyperlink" Target="http://internet.garant.ru/document/redirect/70502258/2000" TargetMode="External"/><Relationship Id="rId10" Type="http://schemas.openxmlformats.org/officeDocument/2006/relationships/hyperlink" Target="http://internet.garant.ru/document/redirect/70353464/44" TargetMode="External"/><Relationship Id="rId19" Type="http://schemas.openxmlformats.org/officeDocument/2006/relationships/hyperlink" Target="http://internet.garant.ru/document/redirect/7050225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58250/0" TargetMode="External"/><Relationship Id="rId14" Type="http://schemas.openxmlformats.org/officeDocument/2006/relationships/hyperlink" Target="http://internet.garant.ru/document/redirect/70353464/4415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0504-9FDD-48A6-AFAB-67CEA9F0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Ubiikon.M.A</dc:creator>
  <cp:lastModifiedBy>Харченко Анна Александровна</cp:lastModifiedBy>
  <cp:revision>49</cp:revision>
  <dcterms:created xsi:type="dcterms:W3CDTF">2018-10-03T10:56:00Z</dcterms:created>
  <dcterms:modified xsi:type="dcterms:W3CDTF">2021-06-21T08:51:00Z</dcterms:modified>
</cp:coreProperties>
</file>