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tbl>
      <w:tblPr>
        <w:tblW w:w="0" w:type="auto"/>
        <w:tblBorders>
          <w:top w:val="single"/>
          <w:left w:val="single"/>
          <w:bottom w:val="single"/>
          <w:right w:val="single"/>
          <w:insideH w:val="single"/>
          <w:insideV w:val="single"/>
        </w:tblBorders>
        <w:tblBorders>
          <w:insideH w:val="single"/>
          <w:insideV w:val="single"/>
        </w:tblBorders>
        <w:tblLayout w:type="fixed"/>
        <w:tblLayout w:type="fixed"/>
        <w:tblCellMar>
          <w:top w:type="dxa" w:w="500"/>
          <w:left w:type="dxa" w:w="1000"/>
          <w:bottom w:w="0" w:type="dxa"/>
          <w:right w:type="dxa" w:w="1000"/>
        </w:tblCellMar>
        <w:tblCellMar>
          <w:left w:w="100"/>
        </w:tblCellMar>
        <w:tblCellMar>
          <w:right w:w="100"/>
        </w:tblCellMar>
        <w:tblCellMar>
          <w:top w:w="100"/>
        </w:tblCellMar>
      </w:tblPr>
      <w:tr>
        <w:tc>
          <w:tcPr>
            <w:tcW w:w="1055"/>
            <w:shd w:color="auto" w:val="clear" w:fill="bfbfbf"/>
            <w:vAlign w:val="center"/>
          </w:tcPr>
          <w:p>
            <w:pPr>
              <w:spacing w:after="0"/>
              <w:jc w:val="both"/>
            </w:pPr>
            <w:r>
              <w:rPr>
                <w:rFonts w:ascii="Courier New" w:hAnsi="Courier New" w:cs="Courier New" w:eastAsia="Courier New"/>
                <w:b w:val="true"/>
                <w:sz w:val="18"/>
              </w:rPr>
              <w:t>№ п/п</w:t>
            </w:r>
          </w:p>
        </w:tc>
        <w:tc>
          <w:tcPr>
            <w:tcW w:w="9545"/>
            <w:shd w:color="auto" w:val="clear" w:fill="bfbfbf"/>
            <w:vAlign w:val="center"/>
          </w:tcPr>
          <w:p>
            <w:pPr>
              <w:spacing w:after="0"/>
              <w:jc w:val="center"/>
            </w:pPr>
            <w:r>
              <w:rPr>
                <w:rFonts w:ascii="Courier New" w:hAnsi="Courier New" w:cs="Courier New" w:eastAsia="Courier New"/>
                <w:b w:val="true"/>
                <w:sz w:val="18"/>
              </w:rPr>
              <w:t>ТРЕБОВАНИЯ К СОДЕРЖАНИЮ, СОСТАВУ ЗАЯВКИ НА УЧАСТИЕ В ЗАКУПКЕ И ИНСТРУКЦИЯ ПО ЕЕ ЗАПОЛНЕНИЮ</w:t>
            </w:r>
          </w:p>
        </w:tc>
      </w:tr>
      <w:tr>
        <w:tc>
          <w:tcPr>
            <w:hMerge w:val="restart"/>
            <w:vAlign w:val="top"/>
          </w:tcPr>
          <w:p>
            <w:pPr>
              <w:spacing w:after="240"/>
              <w:jc w:val="both"/>
            </w:pPr>
            <w:r>
              <w:rPr>
                <w:rFonts w:ascii="Courier New" w:hAnsi="Courier New" w:cs="Courier New" w:eastAsia="Courier New"/>
                <w:b w:val="true"/>
                <w:sz w:val="18"/>
              </w:rPr>
              <w:t>1. Информация и документы об участнике закупки:</w:t>
            </w:r>
          </w:p>
        </w:tc>
        <w:tc>
          <w:tcPr>
            <w:hMerge w:val="continue"/>
          </w:tcPr>
          <w:p/>
        </w:tc>
      </w:tr>
      <w:tr>
        <w:tc>
          <w:tcPr>
            <w:vAlign w:val="top"/>
          </w:tcPr>
          <w:p>
            <w:pPr>
              <w:spacing w:after="240"/>
              <w:jc w:val="both"/>
            </w:pPr>
            <w:r>
              <w:rPr>
                <w:rFonts w:ascii="Courier New" w:hAnsi="Courier New" w:cs="Courier New" w:eastAsia="Courier New"/>
                <w:b w:val="false"/>
                <w:sz w:val="18"/>
              </w:rPr>
              <w:t>1.1</w:t>
            </w:r>
          </w:p>
        </w:tc>
        <w:tc>
          <w:tcPr>
            <w:vAlign w:val="top"/>
          </w:tcPr>
          <w:p>
            <w:pPr>
              <w:spacing w:after="240"/>
              <w:jc w:val="both"/>
            </w:pPr>
            <w:r>
              <w:rPr>
                <w:rFonts w:ascii="Courier New" w:hAnsi="Courier New" w:cs="Courier New" w:eastAsia="Courier New"/>
                <w:b w:val="false"/>
                <w:sz w:val="18"/>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tc>
          <w:tcPr>
            <w:vAlign w:val="top"/>
          </w:tcPr>
          <w:p>
            <w:pPr>
              <w:spacing w:after="240"/>
              <w:jc w:val="both"/>
            </w:pPr>
            <w:r>
              <w:rPr>
                <w:rFonts w:ascii="Courier New" w:hAnsi="Courier New" w:cs="Courier New" w:eastAsia="Courier New"/>
                <w:b w:val="false"/>
                <w:sz w:val="18"/>
              </w:rPr>
              <w:t>1.2</w:t>
            </w:r>
          </w:p>
        </w:tc>
        <w:tc>
          <w:tcPr>
            <w:vAlign w:val="top"/>
          </w:tcPr>
          <w:p>
            <w:pPr>
              <w:spacing w:after="240"/>
              <w:jc w:val="both"/>
            </w:pPr>
            <w:r>
              <w:rPr>
                <w:rFonts w:ascii="Courier New" w:hAnsi="Courier New" w:cs="Courier New" w:eastAsia="Courier New"/>
                <w:b w:val="false"/>
                <w:sz w:val="18"/>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tc>
          <w:tcPr>
            <w:vAlign w:val="top"/>
          </w:tcPr>
          <w:p>
            <w:pPr>
              <w:spacing w:after="240"/>
              <w:jc w:val="both"/>
            </w:pPr>
            <w:r>
              <w:rPr>
                <w:rFonts w:ascii="Courier New" w:hAnsi="Courier New" w:cs="Courier New" w:eastAsia="Courier New"/>
                <w:b w:val="false"/>
                <w:sz w:val="18"/>
              </w:rPr>
              <w:t>1.3</w:t>
            </w:r>
          </w:p>
        </w:tc>
        <w:tc>
          <w:tcPr>
            <w:vAlign w:val="top"/>
          </w:tcPr>
          <w:p>
            <w:pPr>
              <w:spacing w:after="240"/>
              <w:jc w:val="both"/>
            </w:pPr>
            <w:r>
              <w:rPr>
                <w:rFonts w:ascii="Courier New" w:hAnsi="Courier New" w:cs="Courier New" w:eastAsia="Courier New"/>
                <w:b w:val="false"/>
                <w:sz w:val="18"/>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tc>
          <w:tcPr>
            <w:vAlign w:val="top"/>
          </w:tcPr>
          <w:p>
            <w:pPr>
              <w:spacing w:after="240"/>
              <w:jc w:val="both"/>
            </w:pPr>
            <w:r>
              <w:rPr>
                <w:rFonts w:ascii="Courier New" w:hAnsi="Courier New" w:cs="Courier New" w:eastAsia="Courier New"/>
                <w:b w:val="false"/>
                <w:sz w:val="18"/>
              </w:rPr>
              <w:t>1.4</w:t>
            </w:r>
          </w:p>
        </w:tc>
        <w:tc>
          <w:tcPr>
            <w:vAlign w:val="top"/>
          </w:tcPr>
          <w:p>
            <w:pPr>
              <w:spacing w:after="240"/>
              <w:jc w:val="both"/>
            </w:pPr>
            <w:r>
              <w:rPr>
                <w:rFonts w:ascii="Courier New" w:hAnsi="Courier New" w:cs="Courier New" w:eastAsia="Courier New"/>
                <w:b w:val="false"/>
                <w:sz w:val="18"/>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tc>
          <w:tcPr>
            <w:vAlign w:val="top"/>
          </w:tcPr>
          <w:p>
            <w:pPr>
              <w:spacing w:after="240"/>
              <w:jc w:val="both"/>
            </w:pPr>
            <w:r>
              <w:rPr>
                <w:rFonts w:ascii="Courier New" w:hAnsi="Courier New" w:cs="Courier New" w:eastAsia="Courier New"/>
                <w:b w:val="false"/>
                <w:sz w:val="18"/>
              </w:rPr>
              <w:t>1.5</w:t>
            </w:r>
          </w:p>
        </w:tc>
        <w:tc>
          <w:tcPr>
            <w:vAlign w:val="top"/>
          </w:tcPr>
          <w:p>
            <w:pPr>
              <w:spacing w:after="240"/>
              <w:jc w:val="both"/>
            </w:pPr>
            <w:r>
              <w:rPr>
                <w:rFonts w:ascii="Courier New" w:hAnsi="Courier New" w:cs="Courier New" w:eastAsia="Courier New"/>
                <w:b w:val="false"/>
                <w:sz w:val="18"/>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tc>
          <w:tcPr>
            <w:vAlign w:val="top"/>
          </w:tcPr>
          <w:p>
            <w:pPr>
              <w:spacing w:after="240"/>
              <w:jc w:val="both"/>
            </w:pPr>
            <w:r>
              <w:rPr>
                <w:rFonts w:ascii="Courier New" w:hAnsi="Courier New" w:cs="Courier New" w:eastAsia="Courier New"/>
                <w:b w:val="false"/>
                <w:sz w:val="18"/>
              </w:rPr>
              <w:t>1.6</w:t>
            </w:r>
          </w:p>
        </w:tc>
        <w:tc>
          <w:tcPr>
            <w:vAlign w:val="top"/>
          </w:tcPr>
          <w:p>
            <w:pPr>
              <w:spacing w:after="240"/>
              <w:jc w:val="both"/>
            </w:pPr>
            <w:r>
              <w:rPr>
                <w:rFonts w:ascii="Courier New" w:hAnsi="Courier New" w:cs="Courier New" w:eastAsia="Courier New"/>
                <w:b w:val="false"/>
                <w:sz w:val="18"/>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tc>
          <w:tcPr>
            <w:vAlign w:val="top"/>
          </w:tcPr>
          <w:p>
            <w:pPr>
              <w:spacing w:after="240"/>
              <w:jc w:val="both"/>
            </w:pPr>
            <w:r>
              <w:rPr>
                <w:rFonts w:ascii="Courier New" w:hAnsi="Courier New" w:cs="Courier New" w:eastAsia="Courier New"/>
                <w:b w:val="false"/>
                <w:sz w:val="18"/>
              </w:rPr>
              <w:t>1.7</w:t>
            </w:r>
          </w:p>
        </w:tc>
        <w:tc>
          <w:tcPr>
            <w:vAlign w:val="top"/>
          </w:tcPr>
          <w:p>
            <w:pPr>
              <w:spacing w:after="240"/>
              <w:jc w:val="both"/>
            </w:pPr>
            <w:r>
              <w:rPr>
                <w:rFonts w:ascii="Courier New" w:hAnsi="Courier New" w:cs="Courier New" w:eastAsia="Courier New"/>
                <w:b w:val="false"/>
                <w:sz w:val="18"/>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tc>
          <w:tcPr>
            <w:vAlign w:val="top"/>
          </w:tcPr>
          <w:p>
            <w:pPr>
              <w:spacing w:after="240"/>
              <w:jc w:val="both"/>
            </w:pPr>
            <w:r>
              <w:rPr>
                <w:rFonts w:ascii="Courier New" w:hAnsi="Courier New" w:cs="Courier New" w:eastAsia="Courier New"/>
                <w:b w:val="false"/>
                <w:sz w:val="18"/>
              </w:rPr>
              <w:t>1.8</w:t>
            </w:r>
          </w:p>
        </w:tc>
        <w:tc>
          <w:tcPr>
            <w:vAlign w:val="top"/>
          </w:tcPr>
          <w:p>
            <w:pPr>
              <w:spacing w:after="240"/>
              <w:jc w:val="both"/>
            </w:pPr>
            <w:r>
              <w:rPr>
                <w:rFonts w:ascii="Courier New" w:hAnsi="Courier New" w:cs="Courier New" w:eastAsia="Courier New"/>
                <w:b w:val="false"/>
                <w:sz w:val="18"/>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tc>
          <w:tcPr>
            <w:vAlign w:val="top"/>
          </w:tcPr>
          <w:p>
            <w:pPr>
              <w:spacing w:after="240"/>
              <w:jc w:val="both"/>
            </w:pPr>
            <w:r>
              <w:rPr>
                <w:rFonts w:ascii="Courier New" w:hAnsi="Courier New" w:cs="Courier New" w:eastAsia="Courier New"/>
                <w:b w:val="false"/>
                <w:sz w:val="18"/>
              </w:rPr>
              <w:t>1.9</w:t>
            </w:r>
          </w:p>
        </w:tc>
        <w:tc>
          <w:tcPr>
            <w:vAlign w:val="top"/>
          </w:tcPr>
          <w:p>
            <w:pPr>
              <w:spacing w:after="240"/>
              <w:jc w:val="both"/>
            </w:pPr>
            <w:r>
              <w:rPr>
                <w:rFonts w:ascii="Courier New" w:hAnsi="Courier New" w:cs="Courier New" w:eastAsia="Courier New"/>
                <w:b w:val="false"/>
                <w:sz w:val="18"/>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 о контрактной системе.</w:t>
            </w:r>
          </w:p>
        </w:tc>
      </w:tr>
      <w:tr>
        <w:tc>
          <w:tcPr>
            <w:hMerge w:val="restart"/>
            <w:vAlign w:val="top"/>
          </w:tcPr>
          <w:p>
            <w:pPr>
              <w:spacing w:after="240"/>
              <w:jc w:val="both"/>
            </w:pPr>
            <w:r>
              <w:rPr>
                <w:rFonts w:ascii="Courier New" w:hAnsi="Courier New" w:cs="Courier New" w:eastAsia="Courier New"/>
                <w:b w:val="false"/>
                <w:sz w:val="18"/>
              </w:rPr>
              <w:t>Информация и документы, предусмотренные подпунктами 1.1 - 1.8, 1.9 пункта 1 настоящих Требований, не включаются участником закупки в заявку на участие в закупке и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c>
          <w:tcPr>
            <w:hMerge w:val="continue"/>
          </w:tcPr>
          <w:p/>
        </w:tc>
      </w:tr>
      <w:tr>
        <w:tc>
          <w:tcPr>
            <w:vAlign w:val="top"/>
          </w:tcPr>
          <w:p>
            <w:pPr>
              <w:spacing w:after="240"/>
              <w:jc w:val="both"/>
            </w:pPr>
            <w:r>
              <w:rPr>
                <w:rFonts w:ascii="Courier New" w:hAnsi="Courier New" w:cs="Courier New" w:eastAsia="Courier New"/>
                <w:b w:val="false"/>
                <w:sz w:val="18"/>
              </w:rPr>
              <w:t>1.10</w:t>
            </w:r>
          </w:p>
        </w:tc>
        <w:tc>
          <w:tcPr>
            <w:vAlign w:val="top"/>
          </w:tcPr>
          <w:p>
            <w:pPr>
              <w:spacing w:after="240"/>
              <w:jc w:val="both"/>
            </w:pPr>
            <w:r>
              <w:rPr>
                <w:rFonts w:ascii="Courier New" w:hAnsi="Courier New" w:cs="Courier New" w:eastAsia="Courier New"/>
                <w:b w:val="false"/>
                <w:sz w:val="18"/>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tc>
          <w:tcPr>
            <w:vAlign w:val="top"/>
          </w:tcPr>
          <w:p>
            <w:pPr>
              <w:spacing w:after="240"/>
              <w:jc w:val="both"/>
            </w:pPr>
            <w:r>
              <w:rPr>
                <w:rFonts w:ascii="Courier New" w:hAnsi="Courier New" w:cs="Courier New" w:eastAsia="Courier New"/>
                <w:b w:val="false"/>
                <w:sz w:val="18"/>
              </w:rPr>
              <w:t>1.11</w:t>
            </w:r>
          </w:p>
        </w:tc>
        <w:tc>
          <w:tcPr>
            <w:vAlign w:val="top"/>
          </w:tcPr>
          <w:p>
            <w:pPr>
              <w:spacing w:after="240"/>
              <w:jc w:val="both"/>
            </w:pPr>
            <w:r>
              <w:rPr>
                <w:rFonts w:ascii="Courier New" w:hAnsi="Courier New" w:cs="Courier New" w:eastAsia="Courier New"/>
                <w:b w:val="false"/>
                <w:sz w:val="18"/>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tc>
          <w:tcPr>
            <w:vAlign w:val="top"/>
          </w:tcPr>
          <w:p>
            <w:pPr>
              <w:spacing w:after="240"/>
              <w:jc w:val="both"/>
            </w:pPr>
            <w:r>
              <w:rPr>
                <w:rFonts w:ascii="Courier New" w:hAnsi="Courier New" w:cs="Courier New" w:eastAsia="Courier New"/>
                <w:b w:val="false"/>
                <w:sz w:val="18"/>
              </w:rPr>
              <w:t>1.12</w:t>
            </w:r>
          </w:p>
        </w:tc>
        <w:tc>
          <w:tcPr>
            <w:vAlign w:val="top"/>
          </w:tcPr>
          <w:p>
            <w:pPr>
              <w:spacing w:after="240"/>
              <w:jc w:val="both"/>
            </w:pPr>
            <w:r>
              <w:rPr>
                <w:rFonts w:ascii="Courier New" w:hAnsi="Courier New" w:cs="Courier New" w:eastAsia="Courier New"/>
                <w:b w:val="false"/>
                <w:sz w:val="18"/>
              </w:rPr>
              <w:t>Декларация о соответствии участника закупки требованиям, установленным пунктами 3 – 5, 7 – 11 части 1 статьи 31 Закона о контрактной системе.</w:t>
            </w:r>
          </w:p>
        </w:tc>
      </w:tr>
      <w:tr>
        <w:tc>
          <w:tcPr>
            <w:hMerge w:val="restart"/>
            <w:vAlign w:val="top"/>
          </w:tcPr>
          <w:p>
            <w:pPr>
              <w:spacing w:after="240"/>
              <w:jc w:val="both"/>
            </w:pPr>
            <w:r>
              <w:rPr>
                <w:rFonts w:ascii="Courier New" w:hAnsi="Courier New" w:cs="Courier New" w:eastAsia="Courier New"/>
                <w:b w:val="true"/>
                <w:sz w:val="18"/>
              </w:rPr>
              <w:t>2. Инструкция по заполнению заявки</w:t>
            </w:r>
          </w:p>
        </w:tc>
        <w:tc>
          <w:tcPr>
            <w:hMerge w:val="continue"/>
          </w:tcPr>
          <w:p/>
        </w:tc>
      </w:tr>
      <w:tr>
        <w:tc>
          <w:tcPr>
            <w:hMerge w:val="restart"/>
            <w:vAlign w:val="top"/>
            <w:vAlign w:val="top"/>
            <w:vAlign w:val="top"/>
            <w:vAlign w:val="top"/>
            <w:vAlign w:val="top"/>
            <w:vAlign w:val="top"/>
          </w:tcPr>
          <w:p>
            <w:pPr>
              <w:spacing w:after="240"/>
              <w:jc w:val="both"/>
            </w:pPr>
            <w:r>
              <w:rPr>
                <w:rFonts w:ascii="Courier New" w:hAnsi="Courier New" w:cs="Courier New" w:eastAsia="Courier New"/>
                <w:b w:val="false"/>
                <w:sz w:val="18"/>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pPr>
              <w:spacing w:after="240"/>
              <w:jc w:val="both"/>
            </w:pPr>
            <w:r>
              <w:rPr>
                <w:rFonts w:ascii="Courier New" w:hAnsi="Courier New" w:cs="Courier New" w:eastAsia="Courier New"/>
                <w:b w:val="false"/>
                <w:sz w:val="18"/>
              </w:rPr>
              <w:t>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Законом о контрактной системы, оператору электронной площадки.</w:t>
            </w:r>
          </w:p>
          <w:p>
            <w:pPr>
              <w:spacing w:after="240"/>
              <w:jc w:val="both"/>
            </w:pPr>
            <w:r>
              <w:rPr>
                <w:rFonts w:ascii="Courier New" w:hAnsi="Courier New" w:cs="Courier New" w:eastAsia="Courier New"/>
                <w:b w:val="false"/>
                <w:sz w:val="18"/>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срока подачи заявок на участие в закупке.</w:t>
            </w:r>
          </w:p>
          <w:p>
            <w:pPr>
              <w:spacing w:after="240"/>
              <w:jc w:val="both"/>
            </w:pPr>
            <w:r>
              <w:rPr>
                <w:rFonts w:ascii="Courier New" w:hAnsi="Courier New" w:cs="Courier New" w:eastAsia="Courier New"/>
                <w:b w:val="false"/>
                <w:sz w:val="18"/>
              </w:rPr>
              <w:t>Заявка на участие в закупке, подготовленная участником закупки, должна быть составлена на русском языке. Отдельные документы (или их части), предоставленные участником закупки
в составе заявки, могут быть подготовлены на другом языке при условии, что к ним будет прилагаться точный перевод на русский язык.
</w:t>
            </w:r>
          </w:p>
          <w:p>
            <w:pPr>
              <w:spacing w:after="240"/>
              <w:jc w:val="both"/>
            </w:pPr>
            <w:r>
              <w:rPr>
                <w:rFonts w:ascii="Courier New" w:hAnsi="Courier New" w:cs="Courier New" w:eastAsia="Courier New"/>
                <w:b w:val="false"/>
                <w:sz w:val="18"/>
              </w:rPr>
              <w:t>Все документы, входящие в состав заявки должны иметь четко читаемый текст, не допускающий двусмысленных толкований.
</w:t>
            </w:r>
          </w:p>
          <w:p>
            <w:pPr>
              <w:spacing w:after="240"/>
              <w:jc w:val="both"/>
            </w:pPr>
            <w:r>
              <w:rPr>
                <w:rFonts w:ascii="Courier New" w:hAnsi="Courier New" w:cs="Courier New" w:eastAsia="Courier New"/>
                <w:b w:val="false"/>
                <w:sz w:val="18"/>
              </w:rPr>
              <w:t>Заявка на участие в закупке должна содержать документы и информацию, с учетом требований
к содержанию, составу заявки на участие в закупке.</w:t>
            </w:r>
          </w:p>
        </w:tc>
        <w:tc>
          <w:tcPr>
            <w:hMerge w:val="continue"/>
          </w:tcPr>
          <w:p/>
        </w:tc>
      </w:tr>
      <w:tr>
        <w:tc>
          <w:tcPr>
            <w:hMerge w:val="restart"/>
            <w:vAlign w:val="top"/>
          </w:tcPr>
          <w:p>
            <w:pPr>
              <w:spacing w:after="240"/>
              <w:jc w:val="both"/>
            </w:pPr>
            <w:r>
              <w:rPr>
                <w:rFonts w:ascii="Courier New" w:hAnsi="Courier New" w:cs="Courier New" w:eastAsia="Courier New"/>
                <w:b w:val="true"/>
                <w:sz w:val="18"/>
              </w:rPr>
              <w:t>3. Особенности порядка предоставления обеспечения заявок на участие в закупках участниками закупок, являющимися иностранными лицами</w:t>
            </w:r>
          </w:p>
        </w:tc>
        <w:tc>
          <w:tcPr>
            <w:hMerge w:val="continue"/>
          </w:tcPr>
          <w:p/>
        </w:tc>
      </w:tr>
      <w:tr>
        <w:tc>
          <w:tcPr>
            <w:vAlign w:val="top"/>
          </w:tcPr>
          <w:p>
            <w:pPr>
              <w:spacing w:after="240"/>
              <w:jc w:val="both"/>
            </w:pPr>
            <w:r>
              <w:rPr>
                <w:rFonts w:ascii="Courier New" w:hAnsi="Courier New" w:cs="Courier New" w:eastAsia="Courier New"/>
                <w:b w:val="false"/>
                <w:sz w:val="18"/>
              </w:rPr>
              <w:t>3.1</w:t>
            </w:r>
          </w:p>
        </w:tc>
        <w:tc>
          <w:tcPr>
            <w:vAlign w:val="top"/>
            <w:vAlign w:val="top"/>
            <w:vAlign w:val="top"/>
          </w:tcPr>
          <w:p>
            <w:pPr>
              <w:spacing w:after="240"/>
              <w:jc w:val="both"/>
            </w:pPr>
            <w:r>
              <w:rPr>
                <w:rFonts w:ascii="Courier New" w:hAnsi="Courier New" w:cs="Courier New" w:eastAsia="Courier New"/>
                <w:b w:val="false"/>
                <w:sz w:val="18"/>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pPr>
              <w:spacing w:after="240"/>
              <w:jc w:val="both"/>
            </w:pPr>
            <w:r>
              <w:rPr>
                <w:rFonts w:ascii="Courier New" w:hAnsi="Courier New" w:cs="Courier New" w:eastAsia="Courier New"/>
                <w:b w:val="false"/>
                <w:sz w:val="18"/>
              </w:rPr>
              <w:t>а) 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pPr>
              <w:spacing w:after="240"/>
              <w:jc w:val="both"/>
            </w:pPr>
            <w:r>
              <w:rPr>
                <w:rFonts w:ascii="Courier New" w:hAnsi="Courier New" w:cs="Courier New" w:eastAsia="Courier New"/>
                <w:b w:val="false"/>
                <w:sz w:val="18"/>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tc>
      </w:tr>
    </w:tbl>
    <w:sectPr>
      <w:headerReference w:type="first" r:id="rId2"/>
      <w:footerReference w:type="default" r:id="rId3"/>
      <w:pgSz w:orient="portrait" w:h="16840" w:w="11900"/>
      <w:pgMar w:left="800" w:right="800" w:top="500" w:bottom="500" w:footer="400"/>
      <w:titlePg w:val="on"/>
    </w:sectPr>
  </w:body>
</w:document>
</file>

<file path=word/footer1.xml><?xml version="1.0" encoding="utf-8"?>
<w:ftr xmlns:w="http://schemas.openxmlformats.org/wordprocessingml/2006/main">
  <w:p>
    <w:pPr>
      <w:jc w:val="right"/>
    </w:pPr>
    <w:r>
      <w:rPr/>
      <w:fldChar w:fldCharType="begin"/>
    </w:r>
    <w:r>
      <w:instrText> PAGE </w:instrText>
    </w:r>
    <w:r>
      <w:fldChar w:fldCharType="separate"/>
    </w:r>
    <w:r>
      <w:fldChar w:fldCharType="end"/>
    </w:r>
  </w:p>
</w:ftr>
</file>

<file path=word/header1.xml><?xml version="1.0" encoding="utf-8"?>
<w:hdr xmlns:w="http://schemas.openxmlformats.org/wordprocessingml/2006/main">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2024-03-29T13:52:54Z</dcterms:created>
  <dc:creator>Apache POI</dc:creator>
</cp:coreProperties>
</file>