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2.0.0 -->
  <w:body>
    <w:p w:rsidR="00A6204F" w:rsidP="00A6204F">
      <w:pPr>
        <w:pStyle w:val="a3"/>
        <w:jc w:val="center"/>
        <w:rPr>
          <w:sz w:val="22"/>
          <w:szCs w:val="22"/>
        </w:rPr>
      </w:pPr>
      <w:r>
        <w:rPr>
          <w:rStyle w:val="a2"/>
          <w:bCs/>
          <w:sz w:val="22"/>
          <w:szCs w:val="22"/>
        </w:rPr>
        <w:t>ПОРЯДОК</w:t>
      </w:r>
    </w:p>
    <w:p w:rsidR="00A6204F" w:rsidP="00A6204F">
      <w:pPr>
        <w:pStyle w:val="a3"/>
        <w:jc w:val="center"/>
        <w:rPr>
          <w:sz w:val="22"/>
          <w:szCs w:val="22"/>
        </w:rPr>
      </w:pPr>
      <w:r>
        <w:rPr>
          <w:rStyle w:val="a2"/>
          <w:bCs/>
          <w:sz w:val="22"/>
          <w:szCs w:val="22"/>
        </w:rPr>
        <w:t>рассмотрения и оценки заявок на участие в конкурсе</w:t>
      </w:r>
    </w:p>
    <w:p w:rsidR="00A6204F" w:rsidP="00A6204F">
      <w:pPr>
        <w:jc w:val="center"/>
      </w:pPr>
    </w:p>
    <w:p w:rsidR="00A6204F" w:rsidP="00A6204F">
      <w:pPr>
        <w:pStyle w:val="a3"/>
        <w:jc w:val="center"/>
        <w:rPr>
          <w:sz w:val="22"/>
          <w:szCs w:val="22"/>
        </w:rPr>
      </w:pPr>
      <w:bookmarkStart w:id="0" w:name="sub_10100"/>
      <w:r>
        <w:rPr>
          <w:rStyle w:val="a2"/>
          <w:bCs/>
          <w:sz w:val="22"/>
          <w:szCs w:val="22"/>
        </w:rPr>
        <w:t>I. Информация о заказчике и закупке товаров, работ, услуг  для обеспечения государственных</w:t>
      </w:r>
    </w:p>
    <w:p w:rsidR="00A6204F" w:rsidP="00A6204F">
      <w:pPr>
        <w:pStyle w:val="a3"/>
        <w:jc w:val="center"/>
        <w:rPr>
          <w:sz w:val="22"/>
          <w:szCs w:val="22"/>
        </w:rPr>
      </w:pPr>
      <w:bookmarkEnd w:id="0"/>
      <w:r>
        <w:rPr>
          <w:rStyle w:val="a2"/>
          <w:bCs/>
          <w:sz w:val="22"/>
          <w:szCs w:val="22"/>
        </w:rPr>
        <w:t>и муниципальных нужд (далее - закупка)</w:t>
      </w:r>
    </w:p>
    <w:p w:rsidR="00A6204F" w:rsidP="00D35654">
      <w:pPr>
        <w:ind w:firstLine="0"/>
      </w:pPr>
    </w:p>
    <w:tbl>
      <w:tblPr>
        <w:tblStyle w:val="TableGrid"/>
        <w:tblW w:w="0" w:type="auto"/>
        <w:tblLayout w:type="fixed"/>
        <w:tblLook w:val="04A0"/>
      </w:tblPr>
      <w:tblGrid>
        <w:gridCol w:w="5240"/>
        <w:gridCol w:w="4820"/>
        <w:gridCol w:w="2409"/>
        <w:gridCol w:w="2458"/>
      </w:tblGrid>
      <w:tr w:rsidTr="002A392E">
        <w:tblPrEx>
          <w:tblW w:w="0" w:type="auto"/>
          <w:tblLayout w:type="fixed"/>
          <w:tblLook w:val="04A0"/>
        </w:tblPrEx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A6204F" w:rsidRPr="00D35654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A6204F" w:rsidRPr="00D35654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04F" w:rsidRPr="00D35654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A6204F" w:rsidRPr="00D35654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D35654">
              <w:rPr>
                <w:rFonts w:ascii="Courier New" w:hAnsi="Courier New" w:cs="Courier New"/>
                <w:sz w:val="22"/>
                <w:szCs w:val="22"/>
              </w:rPr>
              <w:t>Коды</w:t>
            </w:r>
          </w:p>
        </w:tc>
      </w:tr>
      <w:tr w:rsidTr="002A392E">
        <w:tblPrEx>
          <w:tblW w:w="0" w:type="auto"/>
          <w:tblLayout w:type="fixed"/>
          <w:tblLook w:val="04A0"/>
        </w:tblPrEx>
        <w:trPr>
          <w:trHeight w:val="508"/>
        </w:trPr>
        <w:tc>
          <w:tcPr>
            <w:tcW w:w="52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5654" w:rsidRPr="00D35654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Полное наименование</w:t>
            </w:r>
          </w:p>
        </w:tc>
        <w:tc>
          <w:tcPr>
            <w:tcW w:w="48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5654" w:rsidRPr="00E84985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</w:pPr>
            <w:r w:rsidRPr="00E84985">
              <w:rPr>
                <w:rFonts w:ascii="Courier New" w:hAnsi="Courier New" w:cs="Courier New"/>
                <w:noProof/>
                <w:sz w:val="22"/>
                <w:szCs w:val="22"/>
                <w:u w:val="single"/>
                <w:lang w:val="en-US"/>
              </w:rPr>
              <w:t>Тамбовское областное</w:t>
            </w:r>
            <w:r w:rsidRPr="00E84985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 xml:space="preserve"> государственное бюджетное образовательное учреждение "Инжавинская школа-интернат для обучающихся с ограниченными возможностями здоровья"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5654" w:rsidRPr="00D35654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D35654">
              <w:rPr>
                <w:rFonts w:ascii="Courier New" w:hAnsi="Courier New" w:cs="Courier New"/>
                <w:sz w:val="22"/>
                <w:szCs w:val="22"/>
              </w:rPr>
              <w:t>ИНН</w:t>
            </w:r>
          </w:p>
        </w:tc>
        <w:tc>
          <w:tcPr>
            <w:tcW w:w="2458" w:type="dxa"/>
            <w:tcBorders>
              <w:left w:val="single" w:sz="4" w:space="0" w:color="auto"/>
            </w:tcBorders>
            <w:vAlign w:val="center"/>
          </w:tcPr>
          <w:p w:rsidR="00D35654" w:rsidRPr="0005284A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05284A">
              <w:rPr>
                <w:rFonts w:ascii="Courier New" w:hAnsi="Courier New" w:cs="Courier New"/>
                <w:noProof/>
                <w:sz w:val="22"/>
                <w:szCs w:val="22"/>
                <w:lang w:val="en-US"/>
              </w:rPr>
              <w:t>6805006510</w:t>
            </w:r>
            <w:r w:rsidRPr="0005284A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</w:p>
        </w:tc>
      </w:tr>
      <w:tr w:rsidTr="002A392E">
        <w:tblPrEx>
          <w:tblW w:w="0" w:type="auto"/>
          <w:tblLayout w:type="fixed"/>
          <w:tblLook w:val="04A0"/>
        </w:tblPrEx>
        <w:trPr>
          <w:trHeight w:val="508"/>
        </w:trPr>
        <w:tc>
          <w:tcPr>
            <w:tcW w:w="52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E84985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E84985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35654" w:rsidRPr="00D35654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D35654">
              <w:rPr>
                <w:rFonts w:ascii="Courier New" w:hAnsi="Courier New" w:cs="Courier New"/>
                <w:sz w:val="22"/>
                <w:szCs w:val="22"/>
              </w:rPr>
              <w:t>КПП</w:t>
            </w:r>
          </w:p>
        </w:tc>
        <w:tc>
          <w:tcPr>
            <w:tcW w:w="24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35654" w:rsidRPr="0005284A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05284A">
              <w:rPr>
                <w:rFonts w:ascii="Courier New" w:hAnsi="Courier New" w:cs="Courier New"/>
                <w:noProof/>
                <w:sz w:val="22"/>
                <w:szCs w:val="22"/>
                <w:lang w:val="en-US"/>
              </w:rPr>
              <w:t>680501001</w:t>
            </w:r>
            <w:r w:rsidRPr="0005284A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</w:p>
        </w:tc>
      </w:tr>
      <w:tr w:rsidTr="002A392E">
        <w:tblPrEx>
          <w:tblW w:w="0" w:type="auto"/>
          <w:tblLayout w:type="fixed"/>
          <w:tblLook w:val="04A0"/>
        </w:tblPrEx>
        <w:tc>
          <w:tcPr>
            <w:tcW w:w="52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5654" w:rsidRPr="00D35654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</w:rPr>
            </w:pPr>
            <w:r w:rsidRPr="00D35654">
              <w:rPr>
                <w:rFonts w:ascii="Courier New" w:hAnsi="Courier New" w:cs="Courier New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48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5654" w:rsidRPr="00557539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</w:pPr>
            <w:r w:rsidRPr="00E84985" w:rsidR="00557539">
              <w:rPr>
                <w:rFonts w:ascii="Courier New" w:hAnsi="Courier New" w:cs="Courier New"/>
                <w:noProof/>
                <w:sz w:val="22"/>
                <w:szCs w:val="22"/>
                <w:u w:val="single"/>
                <w:lang w:val="en-US"/>
              </w:rPr>
              <w:t>Российская Федерация</w:t>
            </w:r>
            <w:r w:rsidRPr="00E84985" w:rsidR="00557539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>, 393310, Тамбовская обл, Инжавинский р-н, Инжавино рп, УЛ ЧИЧЕРИНА, Д. 74</w:t>
            </w:r>
            <w:r w:rsidRPr="00557539" w:rsidR="00557539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 xml:space="preserve">, </w:t>
            </w:r>
            <w:r w:rsidRPr="00557539" w:rsidR="00557539">
              <w:rPr>
                <w:rFonts w:ascii="Courier New" w:hAnsi="Courier New" w:cs="Courier New"/>
                <w:noProof/>
                <w:sz w:val="22"/>
                <w:szCs w:val="22"/>
                <w:u w:val="single"/>
                <w:lang w:val="en-US"/>
              </w:rPr>
              <w:t>7-47553-27785</w:t>
            </w:r>
            <w:r w:rsidRPr="00557539" w:rsidR="00557539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 xml:space="preserve">, </w:t>
            </w:r>
            <w:r w:rsidRPr="00557539" w:rsidR="00557539">
              <w:rPr>
                <w:rFonts w:ascii="Courier New" w:hAnsi="Courier New" w:cs="Courier New"/>
                <w:noProof/>
                <w:sz w:val="22"/>
                <w:szCs w:val="22"/>
                <w:u w:val="single"/>
                <w:lang w:val="en-US"/>
              </w:rPr>
              <w:t>isoshi@yandex</w:t>
            </w:r>
            <w:r w:rsidRPr="00557539" w:rsidR="00557539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>.ru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5654" w:rsidRPr="00D35654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D35654">
              <w:rPr>
                <w:rFonts w:ascii="Courier New" w:hAnsi="Courier New" w:cs="Courier New"/>
                <w:sz w:val="22"/>
                <w:szCs w:val="22"/>
              </w:rPr>
              <w:t>по ОКТМО</w:t>
            </w:r>
          </w:p>
        </w:tc>
        <w:tc>
          <w:tcPr>
            <w:tcW w:w="2458" w:type="dxa"/>
            <w:tcBorders>
              <w:left w:val="single" w:sz="4" w:space="0" w:color="auto"/>
              <w:bottom w:val="nil"/>
            </w:tcBorders>
          </w:tcPr>
          <w:p w:rsidR="00D35654" w:rsidRPr="0005284A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05284A" w:rsidR="00557539">
              <w:rPr>
                <w:rFonts w:ascii="Courier New" w:hAnsi="Courier New" w:cs="Courier New"/>
                <w:noProof/>
                <w:sz w:val="22"/>
                <w:szCs w:val="22"/>
                <w:lang w:val="en-US"/>
              </w:rPr>
              <w:t>68508000051</w:t>
            </w:r>
            <w:r w:rsidRPr="0005284A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</w:t>
            </w:r>
          </w:p>
        </w:tc>
      </w:tr>
      <w:tr w:rsidTr="002A392E">
        <w:tblPrEx>
          <w:tblW w:w="0" w:type="auto"/>
          <w:tblLayout w:type="fixed"/>
          <w:tblLook w:val="04A0"/>
        </w:tblPrEx>
        <w:tc>
          <w:tcPr>
            <w:tcW w:w="52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E84985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E84985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5654" w:rsidRPr="00E84985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58" w:type="dxa"/>
            <w:tcBorders>
              <w:top w:val="nil"/>
              <w:left w:val="single" w:sz="4" w:space="0" w:color="auto"/>
            </w:tcBorders>
          </w:tcPr>
          <w:p w:rsidR="00D35654" w:rsidRPr="0005284A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</w:tr>
      <w:tr w:rsidTr="002A392E">
        <w:tblPrEx>
          <w:tblW w:w="0" w:type="auto"/>
          <w:tblLayout w:type="fixed"/>
          <w:tblLook w:val="04A0"/>
        </w:tblPrEx>
        <w:tc>
          <w:tcPr>
            <w:tcW w:w="52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5654" w:rsidRPr="00D35654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</w:rPr>
            </w:pPr>
            <w:r w:rsidRPr="00D35654">
              <w:rPr>
                <w:rFonts w:ascii="Courier New" w:hAnsi="Courier New" w:cs="Courier New"/>
                <w:sz w:val="22"/>
                <w:szCs w:val="22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48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35654" w:rsidRPr="00E84985" w:rsidP="0005284A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5654" w:rsidRPr="00D35654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D35654">
              <w:rPr>
                <w:rFonts w:ascii="Courier New" w:hAnsi="Courier New" w:cs="Courier New"/>
                <w:sz w:val="22"/>
                <w:szCs w:val="22"/>
              </w:rPr>
              <w:t>ИНН</w:t>
            </w: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D35654" w:rsidRPr="0005284A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</w:tr>
      <w:tr w:rsidTr="002A392E">
        <w:tblPrEx>
          <w:tblW w:w="0" w:type="auto"/>
          <w:tblLayout w:type="fixed"/>
          <w:tblLook w:val="04A0"/>
        </w:tblPrEx>
        <w:tc>
          <w:tcPr>
            <w:tcW w:w="52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05284A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05284A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5654" w:rsidRPr="00D35654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D35654">
              <w:rPr>
                <w:rFonts w:ascii="Courier New" w:hAnsi="Courier New" w:cs="Courier New"/>
                <w:sz w:val="22"/>
                <w:szCs w:val="22"/>
              </w:rPr>
              <w:t>КПП</w:t>
            </w: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D35654" w:rsidRPr="0005284A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</w:tr>
      <w:tr w:rsidTr="002A392E">
        <w:tblPrEx>
          <w:tblW w:w="0" w:type="auto"/>
          <w:tblLayout w:type="fixed"/>
          <w:tblLook w:val="04A0"/>
        </w:tblPrEx>
        <w:tc>
          <w:tcPr>
            <w:tcW w:w="52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05284A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05284A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5654" w:rsidRPr="0005284A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D35654" w:rsidRPr="0005284A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</w:tr>
      <w:tr w:rsidTr="002A392E">
        <w:tblPrEx>
          <w:tblW w:w="0" w:type="auto"/>
          <w:tblLayout w:type="fixed"/>
          <w:tblLook w:val="04A0"/>
        </w:tblPrEx>
        <w:tc>
          <w:tcPr>
            <w:tcW w:w="52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05284A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05284A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5654" w:rsidRPr="0005284A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58" w:type="dxa"/>
            <w:tcBorders>
              <w:left w:val="single" w:sz="4" w:space="0" w:color="auto"/>
            </w:tcBorders>
          </w:tcPr>
          <w:p w:rsidR="00D35654" w:rsidRPr="0005284A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</w:tr>
      <w:tr w:rsidTr="00674061">
        <w:tblPrEx>
          <w:tblW w:w="0" w:type="auto"/>
          <w:tblLayout w:type="fixed"/>
          <w:tblLook w:val="04A0"/>
        </w:tblPrEx>
        <w:tc>
          <w:tcPr>
            <w:tcW w:w="52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05284A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5654" w:rsidRPr="0005284A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35654" w:rsidRPr="0005284A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58" w:type="dxa"/>
            <w:tcBorders>
              <w:left w:val="single" w:sz="4" w:space="0" w:color="auto"/>
              <w:bottom w:val="single" w:sz="4" w:space="0" w:color="auto"/>
            </w:tcBorders>
          </w:tcPr>
          <w:p w:rsidR="00D35654" w:rsidRPr="0005284A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</w:tr>
      <w:tr w:rsidTr="00674061">
        <w:tblPrEx>
          <w:tblW w:w="0" w:type="auto"/>
          <w:tblLayout w:type="fixed"/>
          <w:tblLook w:val="04A0"/>
        </w:tblPrEx>
        <w:tc>
          <w:tcPr>
            <w:tcW w:w="52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6204F" w:rsidRPr="00D35654" w:rsidP="00A6204F">
            <w:pPr>
              <w:ind w:firstLine="0"/>
              <w:jc w:val="left"/>
              <w:rPr>
                <w:rFonts w:ascii="Courier New" w:hAnsi="Courier New" w:cs="Courier New"/>
                <w:sz w:val="22"/>
                <w:szCs w:val="22"/>
              </w:rPr>
            </w:pPr>
            <w:r w:rsidRPr="00D35654">
              <w:rPr>
                <w:rFonts w:ascii="Courier New" w:hAnsi="Courier New" w:cs="Courier New"/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48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6204F" w:rsidRPr="00E84985" w:rsidP="0005284A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04F" w:rsidRPr="00D35654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</w:rPr>
            </w:pPr>
            <w:r w:rsidRPr="00D35654">
              <w:rPr>
                <w:rFonts w:ascii="Courier New" w:hAnsi="Courier New" w:cs="Courier New"/>
                <w:sz w:val="22"/>
                <w:szCs w:val="22"/>
              </w:rPr>
              <w:t>по ОКТМО</w:t>
            </w:r>
          </w:p>
        </w:tc>
        <w:tc>
          <w:tcPr>
            <w:tcW w:w="2458" w:type="dxa"/>
            <w:tcBorders>
              <w:left w:val="single" w:sz="4" w:space="0" w:color="auto"/>
              <w:bottom w:val="nil"/>
            </w:tcBorders>
          </w:tcPr>
          <w:p w:rsidR="00A6204F" w:rsidRPr="0005284A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</w:tr>
      <w:tr w:rsidTr="00674061">
        <w:tblPrEx>
          <w:tblW w:w="0" w:type="auto"/>
          <w:tblLayout w:type="fixed"/>
          <w:tblLook w:val="04A0"/>
        </w:tblPrEx>
        <w:tc>
          <w:tcPr>
            <w:tcW w:w="52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6204F" w:rsidRPr="0005284A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48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6204F" w:rsidRPr="0005284A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6204F" w:rsidRPr="0005284A" w:rsidP="00A6204F">
            <w:pPr>
              <w:ind w:firstLine="0"/>
              <w:jc w:val="right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  <w:tc>
          <w:tcPr>
            <w:tcW w:w="2458" w:type="dxa"/>
            <w:tcBorders>
              <w:top w:val="nil"/>
              <w:left w:val="single" w:sz="4" w:space="0" w:color="auto"/>
            </w:tcBorders>
          </w:tcPr>
          <w:p w:rsidR="00A6204F" w:rsidRPr="0005284A" w:rsidP="00A6204F">
            <w:pPr>
              <w:ind w:firstLine="0"/>
              <w:jc w:val="center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</w:p>
        </w:tc>
      </w:tr>
      <w:tr w:rsidTr="00557539">
        <w:tblPrEx>
          <w:tblW w:w="0" w:type="auto"/>
          <w:tblLayout w:type="fixed"/>
          <w:tblLook w:val="04A0"/>
        </w:tblPrEx>
        <w:tc>
          <w:tcPr>
            <w:tcW w:w="5240" w:type="dxa"/>
            <w:tcBorders>
              <w:top w:val="nil"/>
              <w:left w:val="nil"/>
              <w:bottom w:val="nil"/>
              <w:right w:val="nil"/>
            </w:tcBorders>
          </w:tcPr>
          <w:p w:rsidR="00A6204F" w:rsidRPr="00D35654" w:rsidP="00A6204F">
            <w:pPr>
              <w:ind w:firstLine="0"/>
              <w:rPr>
                <w:rFonts w:ascii="Courier New" w:hAnsi="Courier New" w:cs="Courier New"/>
                <w:sz w:val="22"/>
                <w:szCs w:val="22"/>
              </w:rPr>
            </w:pPr>
            <w:r w:rsidRPr="00D35654">
              <w:rPr>
                <w:rFonts w:ascii="Courier New" w:hAnsi="Courier New" w:cs="Courier New"/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9687" w:type="dxa"/>
            <w:gridSpan w:val="3"/>
            <w:tcBorders>
              <w:left w:val="nil"/>
            </w:tcBorders>
          </w:tcPr>
          <w:p w:rsidR="00A6204F" w:rsidRPr="00E84985" w:rsidP="00A6204F">
            <w:pPr>
              <w:ind w:firstLine="0"/>
              <w:jc w:val="left"/>
              <w:rPr>
                <w:rFonts w:ascii="Courier New" w:hAnsi="Courier New" w:cs="Courier New"/>
                <w:sz w:val="22"/>
                <w:szCs w:val="22"/>
                <w:lang w:val="en-US"/>
              </w:rPr>
            </w:pPr>
            <w:r w:rsidRPr="00E84985" w:rsidR="00557539">
              <w:rPr>
                <w:rFonts w:ascii="Courier New" w:hAnsi="Courier New" w:cs="Courier New"/>
                <w:noProof/>
                <w:sz w:val="22"/>
                <w:szCs w:val="22"/>
                <w:lang w:val="en-US"/>
              </w:rPr>
              <w:t>Капитальный ремонт</w:t>
            </w:r>
            <w:r w:rsidRPr="00E84985" w:rsidR="00557539">
              <w:rPr>
                <w:rFonts w:ascii="Courier New" w:hAnsi="Courier New" w:cs="Courier New"/>
                <w:sz w:val="22"/>
                <w:szCs w:val="22"/>
                <w:lang w:val="en-US"/>
              </w:rPr>
              <w:t xml:space="preserve"> Тамбовского областного государственного бюджетного общеобразовательного учреждения "Инжавинская школа-интернат для обучающихся с ограниченными возможностями здоровья" по адресу: 393310, Тамбовская область, м.о. Инжавинский, рп. Инжавино, ул.Чичерина д.74</w:t>
            </w:r>
            <w:r w:rsidRPr="00E84985">
              <w:rPr>
                <w:rFonts w:ascii="Courier New" w:hAnsi="Courier New" w:cs="Courier New"/>
                <w:sz w:val="22"/>
                <w:szCs w:val="22"/>
                <w:u w:val="single"/>
                <w:lang w:val="en-US"/>
              </w:rPr>
              <w:t xml:space="preserve"> </w:t>
            </w:r>
          </w:p>
        </w:tc>
      </w:tr>
    </w:tbl>
    <w:p w:rsidR="00A6204F" w:rsidRPr="00E84985" w:rsidP="00D35654">
      <w:pPr>
        <w:ind w:firstLine="0"/>
        <w:rPr>
          <w:lang w:val="en-US"/>
        </w:rPr>
      </w:pPr>
    </w:p>
    <w:p w:rsidR="0050764D" w:rsidP="0050764D">
      <w:pPr>
        <w:pStyle w:val="Heading1"/>
      </w:pPr>
      <w:bookmarkStart w:id="1" w:name="sub_10200"/>
      <w:r>
        <w:t>II. Критерии и показатели оценки заявок на участие в закупке</w:t>
      </w:r>
    </w:p>
    <w:p w:rsidR="0050764D" w:rsidP="0050764D">
      <w:bookmarkEnd w:id="1"/>
    </w:p>
    <w:tbl>
      <w:tblPr>
        <w:tblW w:w="15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8"/>
        <w:gridCol w:w="1914"/>
        <w:gridCol w:w="1382"/>
        <w:gridCol w:w="1863"/>
        <w:gridCol w:w="1232"/>
        <w:gridCol w:w="2261"/>
        <w:gridCol w:w="1290"/>
        <w:gridCol w:w="4438"/>
      </w:tblGrid>
      <w:tr w:rsidTr="00A54E7D">
        <w:tblPrEx>
          <w:tblW w:w="15118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738" w:type="dxa"/>
          </w:tcPr>
          <w:p w:rsidR="0050764D" w:rsidP="00A54E7D">
            <w:pPr>
              <w:pStyle w:val="a0"/>
              <w:ind w:firstLine="0"/>
              <w:jc w:val="center"/>
            </w:pPr>
            <w:r>
              <w:t>N</w:t>
            </w:r>
          </w:p>
        </w:tc>
        <w:tc>
          <w:tcPr>
            <w:tcW w:w="1914" w:type="dxa"/>
          </w:tcPr>
          <w:p w:rsidR="0050764D" w:rsidP="002761CD">
            <w:pPr>
              <w:pStyle w:val="a0"/>
              <w:ind w:firstLine="0"/>
              <w:jc w:val="center"/>
            </w:pPr>
            <w:r>
              <w:t>Критерий оценки</w:t>
            </w:r>
          </w:p>
        </w:tc>
        <w:tc>
          <w:tcPr>
            <w:tcW w:w="1382" w:type="dxa"/>
          </w:tcPr>
          <w:p w:rsidR="0050764D" w:rsidP="002761CD">
            <w:pPr>
              <w:pStyle w:val="a0"/>
              <w:ind w:hanging="2"/>
              <w:jc w:val="center"/>
            </w:pPr>
            <w:r>
              <w:t>Значимость критерия оценки, процентов</w:t>
            </w:r>
          </w:p>
        </w:tc>
        <w:tc>
          <w:tcPr>
            <w:tcW w:w="1863" w:type="dxa"/>
          </w:tcPr>
          <w:p w:rsidR="0050764D" w:rsidP="002761CD">
            <w:pPr>
              <w:pStyle w:val="a0"/>
              <w:ind w:firstLine="0"/>
              <w:jc w:val="center"/>
            </w:pPr>
            <w:r>
              <w:t>Показатель оценки</w:t>
            </w:r>
          </w:p>
        </w:tc>
        <w:tc>
          <w:tcPr>
            <w:tcW w:w="1232" w:type="dxa"/>
          </w:tcPr>
          <w:p w:rsidR="0050764D" w:rsidP="002761CD">
            <w:pPr>
              <w:pStyle w:val="a0"/>
              <w:ind w:firstLine="0"/>
              <w:jc w:val="center"/>
            </w:pPr>
            <w:r>
              <w:t>Значимость показателя оценки, процентов</w:t>
            </w:r>
          </w:p>
        </w:tc>
        <w:tc>
          <w:tcPr>
            <w:tcW w:w="2261" w:type="dxa"/>
          </w:tcPr>
          <w:p w:rsidR="0050764D" w:rsidP="002761CD">
            <w:pPr>
              <w:pStyle w:val="a0"/>
              <w:ind w:firstLine="0"/>
              <w:jc w:val="center"/>
            </w:pPr>
            <w:r>
              <w:t>Показатель оценки, детализирующий показатель оценки</w:t>
            </w:r>
          </w:p>
        </w:tc>
        <w:tc>
          <w:tcPr>
            <w:tcW w:w="1290" w:type="dxa"/>
          </w:tcPr>
          <w:p w:rsidR="0050764D" w:rsidP="002761CD">
            <w:pPr>
              <w:pStyle w:val="a0"/>
              <w:ind w:firstLine="0"/>
              <w:jc w:val="center"/>
            </w:pPr>
            <w:r>
              <w:t>Значимость показателя, детализирующего показатель оценки, процентов</w:t>
            </w:r>
          </w:p>
        </w:tc>
        <w:tc>
          <w:tcPr>
            <w:tcW w:w="4438" w:type="dxa"/>
          </w:tcPr>
          <w:p w:rsidR="0050764D" w:rsidP="002761CD">
            <w:pPr>
              <w:pStyle w:val="a0"/>
              <w:ind w:firstLine="0"/>
              <w:jc w:val="center"/>
            </w:pPr>
            <w:r>
              <w:t xml:space="preserve">Формула оценки </w:t>
            </w:r>
            <w:r>
              <w:br/>
              <w:t>или шкала оценки</w:t>
            </w:r>
          </w:p>
        </w:tc>
      </w:tr>
      <w:tr w:rsidTr="00A54E7D">
        <w:tblPrEx>
          <w:tblW w:w="15118" w:type="dxa"/>
          <w:tblInd w:w="108" w:type="dxa"/>
          <w:tblLayout w:type="fixed"/>
          <w:tblLook w:val="0000"/>
        </w:tblPrEx>
        <w:tc>
          <w:tcPr>
            <w:tcW w:w="738" w:type="dxa"/>
          </w:tcPr>
          <w:p w:rsidR="0050764D" w:rsidRPr="0050764D" w:rsidP="00A54E7D">
            <w:pPr>
              <w:pStyle w:val="a0"/>
              <w:ind w:firstLine="0"/>
              <w:rPr>
                <w:lang w:val="en-US"/>
              </w:rPr>
            </w:pPr>
            <w:r w:rsidR="00A54E7D">
              <w:rPr>
                <w:noProof/>
              </w:rP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1914" w:type="dxa"/>
          </w:tcPr>
          <w:p w:rsidR="0050764D" w:rsidP="002761CD">
            <w:pPr>
              <w:pStyle w:val="a0"/>
              <w:ind w:firstLine="0"/>
            </w:pPr>
            <w:r>
              <w:rPr>
                <w:noProof/>
              </w:rPr>
              <w:t xml:space="preserve">Цена контракта, </w:t>
            </w:r>
            <w:r>
              <w:rPr>
                <w:noProof/>
              </w:rPr>
              <w:t>сумма цен единиц товара, работы, услуги</w:t>
            </w:r>
          </w:p>
        </w:tc>
        <w:tc>
          <w:tcPr>
            <w:tcW w:w="1382" w:type="dxa"/>
          </w:tcPr>
          <w:p w:rsidR="0050764D" w:rsidP="002761CD">
            <w:pPr>
              <w:pStyle w:val="a0"/>
              <w:ind w:hanging="2"/>
            </w:pPr>
            <w:r>
              <w:rPr>
                <w:noProof/>
              </w:rPr>
              <w:t>60.00</w:t>
            </w:r>
          </w:p>
        </w:tc>
        <w:tc>
          <w:tcPr>
            <w:tcW w:w="1863" w:type="dxa"/>
          </w:tcPr>
          <w:p w:rsidR="0050764D" w:rsidRPr="00C510A1" w:rsidP="002761CD">
            <w:pPr>
              <w:pStyle w:val="a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32" w:type="dxa"/>
          </w:tcPr>
          <w:p w:rsidR="0050764D" w:rsidRPr="00C510A1" w:rsidP="00C510A1">
            <w:pPr>
              <w:pStyle w:val="a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261" w:type="dxa"/>
          </w:tcPr>
          <w:p w:rsidR="0050764D" w:rsidRPr="00C510A1" w:rsidP="002761CD">
            <w:pPr>
              <w:pStyle w:val="a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90" w:type="dxa"/>
          </w:tcPr>
          <w:p w:rsidR="0050764D" w:rsidRPr="00C510A1" w:rsidP="002761CD">
            <w:pPr>
              <w:pStyle w:val="a0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4438" w:type="dxa"/>
          </w:tcPr>
          <w:p w:rsidR="00A830B6" w:rsidP="002761CD">
            <w:pPr>
              <w:pStyle w:val="a0"/>
              <w:ind w:firstLine="0"/>
            </w:pPr>
            <w:r>
              <w:t xml:space="preserve">оценка заявок осуществляется по формулам, предусмотренным </w:t>
            </w:r>
            <w:r w:rsidRPr="005D0C78">
              <w:rPr>
                <w:rStyle w:val="a"/>
                <w:color w:val="auto"/>
              </w:rPr>
              <w:t>пунктами 9</w:t>
            </w:r>
            <w:r w:rsidRPr="005D0C78">
              <w:t xml:space="preserve"> или </w:t>
            </w:r>
            <w:r w:rsidRPr="005D0C78">
              <w:rPr>
                <w:rStyle w:val="a"/>
                <w:color w:val="auto"/>
              </w:rPr>
              <w:t>10</w:t>
            </w:r>
            <w:r w:rsidRPr="005D0C78">
              <w:t xml:space="preserve"> </w:t>
            </w:r>
            <w:r>
              <w:t xml:space="preserve">Положения </w:t>
            </w:r>
            <w:r>
              <w:br/>
              <w:t xml:space="preserve">об оценке заявок на участие в закупке товаров, работ, услуг для обеспечения государственных </w:t>
            </w:r>
            <w:r>
              <w:br/>
              <w:t xml:space="preserve">и муниципальных нужд, </w:t>
            </w:r>
            <w:r w:rsidRPr="005D0C78">
              <w:t xml:space="preserve">утвержденного </w:t>
            </w:r>
            <w:r w:rsidRPr="005D0C78">
              <w:rPr>
                <w:rStyle w:val="a"/>
                <w:color w:val="auto"/>
              </w:rPr>
              <w:t>постановлением</w:t>
            </w:r>
            <w:r w:rsidRPr="005D0C78">
              <w:t xml:space="preserve"> Правительства</w:t>
            </w:r>
            <w:r>
              <w:t xml:space="preserve"> Российской Федерации от 31 декабря 2021 г. N 2604 "Об оценке заявок на участие в закупке товаров, работ, услуг для обеспечения государственных </w:t>
            </w:r>
            <w:r>
              <w:br/>
              <w:t>и муниципальных нужд, внесении изменений в пункт 4</w:t>
            </w:r>
            <w:r>
              <w:br/>
            </w:r>
            <w:r>
              <w:t>постановления Правительства Российской Федерации от 20 декабря 2021 г. N 2369 и признании утратившими силу некоторых актов и отдельных положений некоторых актов Правительства Российской Федерации" (далее - Положение)</w:t>
            </w:r>
          </w:p>
          <w:p w:rsidR="00A830B6" w:rsidP="002761CD">
            <w:pPr>
              <w:pStyle w:val="a0"/>
              <w:ind w:firstLine="0"/>
            </w:pPr>
          </w:p>
          <w:p w:rsidR="002D014A" w:rsidP="002D014A">
            <w:pPr>
              <w:pStyle w:val="a0"/>
              <w:ind w:firstLine="0"/>
            </w:pPr>
            <w:r>
              <w:t>Оценка заявок по критерию оценки "цена контракта, сумма цен единиц товара, работы, услуги" осуществляется в соответствии со следующими требованиями:</w:t>
            </w:r>
          </w:p>
          <w:p w:rsidR="002D014A" w:rsidP="002D014A">
            <w:pPr>
              <w:pStyle w:val="a0"/>
              <w:ind w:firstLine="0"/>
            </w:pPr>
            <w:r>
              <w:t>а) заявкам, содержащим наилучшее ценовое предложение, а также предложение, равное такому наилучшему ценовому предложению, присваивается 100 баллов;</w:t>
            </w:r>
          </w:p>
          <w:p w:rsidR="002D014A" w:rsidP="002D014A">
            <w:pPr>
              <w:pStyle w:val="a0"/>
              <w:ind w:firstLine="0"/>
            </w:pPr>
            <w:r>
              <w:t>б) значение Цл при применении формулы, предусмотренной подпунктом "а" пункта 10 Положения, и значения Цл и Цi при применении формулы, предусмотренной подпунктом "б" пункта 10 Положения, указываются без знака "минус";</w:t>
            </w:r>
          </w:p>
          <w:p w:rsidR="00A830B6" w:rsidP="002D014A">
            <w:pPr>
              <w:pStyle w:val="a0"/>
              <w:ind w:firstLine="0"/>
            </w:pPr>
            <w:r>
              <w:t>в) применение показателей оценки по критерию оценки "цена контракта, сумма цен единиц товара, работы, услуги" не допускается.</w:t>
            </w:r>
          </w:p>
          <w:p w:rsidR="00A830B6" w:rsidP="002761CD">
            <w:pPr>
              <w:pStyle w:val="a0"/>
              <w:ind w:firstLine="0"/>
            </w:pPr>
          </w:p>
          <w:p w:rsidR="0050764D" w:rsidP="002761CD">
            <w:pPr>
              <w:pStyle w:val="a0"/>
              <w:ind w:firstLine="0"/>
            </w:pPr>
          </w:p>
        </w:tc>
      </w:tr>
      <w:tr w:rsidTr="00A54E7D">
        <w:tblPrEx>
          <w:tblW w:w="15118" w:type="dxa"/>
          <w:tblInd w:w="108" w:type="dxa"/>
          <w:tblLayout w:type="fixed"/>
          <w:tblLook w:val="0000"/>
        </w:tblPrEx>
        <w:tc>
          <w:tcPr>
            <w:tcW w:w="738" w:type="dxa"/>
          </w:tcPr>
          <w:p w:rsidR="00E6151A" w:rsidRPr="007D3D7E" w:rsidP="00A54E7D">
            <w:pPr>
              <w:pStyle w:val="a0"/>
              <w:ind w:firstLine="0"/>
              <w:rPr>
                <w:lang w:val="en-US"/>
              </w:rPr>
            </w:pPr>
            <w:r w:rsidRPr="007D3D7E">
              <w:rPr>
                <w:lang w:val="en-US"/>
              </w:rPr>
              <w:t xml:space="preserve"> </w:t>
            </w:r>
            <w:r w:rsidRPr="007D3D7E">
              <w:rPr>
                <w:noProof/>
                <w:lang w:val="en-US"/>
              </w:rP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1914" w:type="dxa"/>
          </w:tcPr>
          <w:p w:rsidR="00E6151A" w:rsidRPr="007D3D7E" w:rsidP="002761CD">
            <w:pPr>
              <w:pStyle w:val="a0"/>
              <w:ind w:firstLine="0"/>
              <w:rPr>
                <w:lang w:val="en-US"/>
              </w:rPr>
            </w:pPr>
            <w:r w:rsidRPr="007D3D7E">
              <w:rPr>
                <w:noProof/>
                <w:lang w:val="en-US"/>
              </w:rPr>
              <w:t>Квалификация участников закупки</w:t>
            </w:r>
            <w:r w:rsidRPr="007D3D7E">
              <w:rPr>
                <w:noProof/>
                <w:lang w:val="en-US"/>
              </w:rPr>
              <w:t>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</w:tc>
        <w:tc>
          <w:tcPr>
            <w:tcW w:w="1382" w:type="dxa"/>
          </w:tcPr>
          <w:p w:rsidR="00E6151A" w:rsidRPr="007D3D7E" w:rsidP="002761CD">
            <w:pPr>
              <w:pStyle w:val="a0"/>
              <w:ind w:hanging="2"/>
              <w:jc w:val="left"/>
              <w:rPr>
                <w:lang w:val="en-US"/>
              </w:rPr>
            </w:pPr>
            <w:r w:rsidRPr="007D3D7E">
              <w:rPr>
                <w:noProof/>
                <w:lang w:val="en-US"/>
              </w:rPr>
              <w:t>40.00</w:t>
            </w:r>
          </w:p>
        </w:tc>
        <w:tc>
          <w:tcPr>
            <w:tcW w:w="11084" w:type="dxa"/>
            <w:gridSpan w:val="5"/>
            <w:tcMar>
              <w:left w:w="0" w:type="dxa"/>
              <w:right w:w="0" w:type="dxa"/>
            </w:tcMar>
          </w:tcPr>
          <w:tbl>
            <w:tblPr>
              <w:tblStyle w:val="TableGrid"/>
              <w:tblW w:w="0" w:type="auto"/>
              <w:tblBorders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1838"/>
              <w:gridCol w:w="1245"/>
              <w:gridCol w:w="7981"/>
            </w:tblGrid>
            <w:tr w:rsidTr="00590104">
              <w:tblPrEx>
                <w:tblW w:w="0" w:type="auto"/>
                <w:tblBorders>
                  <w:left w:val="none" w:sz="0" w:space="0" w:color="auto"/>
                  <w:bottom w:val="none" w:sz="0" w:space="0" w:color="auto"/>
                  <w:right w:val="none" w:sz="0" w:space="0" w:color="auto"/>
                </w:tblBorders>
                <w:tblLayout w:type="fixed"/>
                <w:tblLook w:val="04A0"/>
              </w:tblPrEx>
              <w:tc>
                <w:tcPr>
                  <w:tcW w:w="1838" w:type="dxa"/>
                </w:tcPr>
                <w:p w:rsidR="00E6151A" w:rsidRPr="007D3D7E" w:rsidP="002761CD">
                  <w:pPr>
                    <w:pStyle w:val="a0"/>
                    <w:ind w:firstLine="0"/>
                    <w:jc w:val="left"/>
                    <w:rPr>
                      <w:lang w:val="en-US"/>
                    </w:rPr>
                  </w:pPr>
                  <w:r w:rsidRPr="007D3D7E">
                    <w:rPr>
                      <w:noProof/>
                      <w:lang w:val="en-US"/>
                    </w:rPr>
                    <w:t>Наличие у участников</w:t>
                  </w:r>
                  <w:r w:rsidRPr="007D3D7E" w:rsidR="002A392E">
                    <w:rPr>
                      <w:noProof/>
                      <w:lang w:val="en-US"/>
                    </w:rPr>
                    <w:t xml:space="preserve"> закупки опыта поставки товара, выполнения работы, оказания услуги, связанного с предметом контракта</w:t>
                  </w:r>
                </w:p>
              </w:tc>
              <w:tc>
                <w:tcPr>
                  <w:tcW w:w="1245" w:type="dxa"/>
                </w:tcPr>
                <w:p w:rsidR="00E6151A" w:rsidRPr="007D3D7E" w:rsidP="002761CD">
                  <w:pPr>
                    <w:pStyle w:val="a0"/>
                    <w:ind w:firstLine="0"/>
                    <w:jc w:val="left"/>
                    <w:rPr>
                      <w:lang w:val="en-US"/>
                    </w:rPr>
                  </w:pPr>
                  <w:r w:rsidRPr="007D3D7E">
                    <w:rPr>
                      <w:noProof/>
                      <w:lang w:val="en-US"/>
                    </w:rPr>
                    <w:t>100.00</w:t>
                  </w:r>
                </w:p>
              </w:tc>
              <w:tc>
                <w:tcPr>
                  <w:tcW w:w="7981" w:type="dxa"/>
                  <w:tcMar>
                    <w:left w:w="0" w:type="dxa"/>
                    <w:right w:w="0" w:type="dxa"/>
                  </w:tcMar>
                </w:tcPr>
                <w:tbl>
                  <w:tblPr>
                    <w:tblStyle w:val="TableGrid"/>
                    <w:tblW w:w="0" w:type="auto"/>
                    <w:tblBorders>
                      <w:left w:val="none" w:sz="0" w:space="0" w:color="auto"/>
                      <w:bottom w:val="none" w:sz="0" w:space="0" w:color="auto"/>
                      <w:right w:val="none" w:sz="0" w:space="0" w:color="auto"/>
                    </w:tblBorders>
                    <w:tblLayout w:type="fixed"/>
                    <w:tblLook w:val="04A0"/>
                  </w:tblPr>
                  <w:tblGrid>
                    <w:gridCol w:w="2268"/>
                    <w:gridCol w:w="1275"/>
                    <w:gridCol w:w="4387"/>
                  </w:tblGrid>
                  <w:tr w:rsidTr="0040483E">
                    <w:tblPrEx>
                      <w:tblW w:w="0" w:type="auto"/>
                      <w:tblBorders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tblBorders>
                      <w:tblLayout w:type="fixed"/>
                      <w:tblLook w:val="04A0"/>
                    </w:tblPrEx>
                    <w:tc>
                      <w:tcPr>
                        <w:tcW w:w="2268" w:type="dxa"/>
                      </w:tcPr>
                      <w:p w:rsidR="00E6151A" w:rsidRPr="00FE6D44" w:rsidP="007D3D7E">
                        <w:pPr>
                          <w:pStyle w:val="a0"/>
                          <w:ind w:firstLine="0"/>
                          <w:jc w:val="left"/>
                          <w:rPr>
                            <w:lang w:val="en-US"/>
                          </w:rPr>
                        </w:pPr>
                        <w:r w:rsidR="00B8363F">
                          <w:rPr>
                            <w:noProof/>
                            <w:lang w:val="en-US"/>
                          </w:rPr>
                          <w:t>Наибольшая цена одного из</w:t>
                        </w:r>
                        <w:r w:rsidR="00B8363F">
                          <w:rPr>
                            <w:lang w:val="en-US"/>
                          </w:rPr>
                          <w:t xml:space="preserve"> исполненных участником закупки договоров</w:t>
                        </w:r>
                      </w:p>
                    </w:tc>
                    <w:tc>
                      <w:tcPr>
                        <w:tcW w:w="1275" w:type="dxa"/>
                      </w:tcPr>
                      <w:p w:rsidR="00E6151A" w:rsidRPr="00FE6D44" w:rsidP="002761CD">
                        <w:pPr>
                          <w:pStyle w:val="a0"/>
                          <w:ind w:firstLine="0"/>
                          <w:jc w:val="left"/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  <w:lang w:val="en-US"/>
                          </w:rPr>
                          <w:t>100.00</w:t>
                        </w:r>
                      </w:p>
                    </w:tc>
                    <w:tc>
                      <w:tcPr>
                        <w:tcW w:w="4387" w:type="dxa"/>
                      </w:tcPr>
                      <w:p w:rsidR="00E6151A" w:rsidRPr="002D014A" w:rsidP="005D5A74">
                        <w:pPr>
                          <w:pStyle w:val="a0"/>
                          <w:ind w:firstLine="0"/>
                          <w:jc w:val="left"/>
                          <w:rPr>
                            <w:lang w:val="en-US"/>
                          </w:rPr>
                        </w:pPr>
                        <w:r w:rsidRPr="003259B6">
                          <w:rPr>
                            <w:lang w:val="en-US"/>
                          </w:rPr>
                          <w:t xml:space="preserve">оценка </w:t>
                        </w:r>
                        <w:r w:rsidRPr="003259B6">
                          <w:rPr>
                            <w:lang w:val="en-US"/>
                          </w:rPr>
                          <w:t>заявок осуществляется по формуле, предусмотренной подпунктом б) пункта 20 Положения</w:t>
                        </w:r>
                      </w:p>
                    </w:tc>
                  </w:tr>
                </w:tbl>
                <w:p w:rsidR="00E6151A" w:rsidRPr="002D014A" w:rsidP="002761CD">
                  <w:pPr>
                    <w:pStyle w:val="a0"/>
                    <w:ind w:firstLine="0"/>
                    <w:jc w:val="left"/>
                    <w:rPr>
                      <w:lang w:val="en-US"/>
                    </w:rPr>
                  </w:pPr>
                </w:p>
              </w:tc>
            </w:tr>
          </w:tbl>
          <w:p w:rsidR="00E6151A" w:rsidRPr="002D014A" w:rsidP="002761CD">
            <w:pPr>
              <w:pStyle w:val="a0"/>
              <w:ind w:firstLine="0"/>
              <w:jc w:val="left"/>
              <w:rPr>
                <w:lang w:val="en-US"/>
              </w:rPr>
            </w:pPr>
          </w:p>
        </w:tc>
      </w:tr>
    </w:tbl>
    <w:p w:rsidR="0050764D" w:rsidRPr="002D014A" w:rsidP="0050764D">
      <w:pPr>
        <w:rPr>
          <w:lang w:val="en-US"/>
        </w:rPr>
      </w:pPr>
    </w:p>
    <w:p w:rsidR="0050764D" w:rsidP="0050764D">
      <w:pPr>
        <w:pStyle w:val="Heading1"/>
      </w:pPr>
      <w:bookmarkStart w:id="2" w:name="sub_10300"/>
      <w:r>
        <w:t xml:space="preserve">III. Отдельные положения о применении отдельных критериев оценки, показателей оценки и показателей оценки, детализирующих показатели оценки, </w:t>
      </w:r>
      <w:r w:rsidRPr="00635060">
        <w:rPr>
          <w:color w:val="auto"/>
        </w:rPr>
        <w:t xml:space="preserve">предусмотренных </w:t>
      </w:r>
      <w:r w:rsidRPr="00635060">
        <w:rPr>
          <w:rStyle w:val="a"/>
          <w:bCs w:val="0"/>
          <w:color w:val="auto"/>
        </w:rPr>
        <w:t>разделом II</w:t>
      </w:r>
      <w:r w:rsidRPr="00635060">
        <w:rPr>
          <w:color w:val="auto"/>
        </w:rPr>
        <w:t xml:space="preserve"> настоящего </w:t>
      </w:r>
      <w:r>
        <w:t>документа</w:t>
      </w:r>
    </w:p>
    <w:p w:rsidR="0050764D" w:rsidP="0050764D">
      <w:bookmarkEnd w:id="2"/>
    </w:p>
    <w:tbl>
      <w:tblPr>
        <w:tblW w:w="151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8"/>
        <w:gridCol w:w="5685"/>
        <w:gridCol w:w="8758"/>
      </w:tblGrid>
      <w:tr w:rsidTr="006D7723">
        <w:tblPrEx>
          <w:tblW w:w="15181" w:type="dxa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ayout w:type="fixed"/>
          <w:tblLook w:val="0000"/>
        </w:tblPrEx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4D" w:rsidP="006D7723">
            <w:pPr>
              <w:pStyle w:val="a0"/>
              <w:ind w:firstLine="0"/>
              <w:jc w:val="center"/>
            </w:pPr>
            <w:bookmarkStart w:id="3" w:name="sub_10310"/>
            <w:r>
              <w:t>N</w:t>
            </w:r>
            <w:bookmarkEnd w:id="3"/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4D" w:rsidP="005D5C1D">
            <w:pPr>
              <w:pStyle w:val="a0"/>
              <w:ind w:firstLine="0"/>
              <w:jc w:val="center"/>
            </w:pPr>
            <w:r>
              <w:t>Наименование критерия оценки, показателя оценки, показателя оценки, детализирующего показатель оценки, при применении которого устанавливается положение, предусмотренное графой 3</w:t>
            </w:r>
          </w:p>
        </w:tc>
        <w:tc>
          <w:tcPr>
            <w:tcW w:w="8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4D" w:rsidP="005D5C1D">
            <w:pPr>
              <w:pStyle w:val="a0"/>
              <w:ind w:firstLine="0"/>
              <w:jc w:val="center"/>
            </w:pPr>
            <w:r>
              <w:t xml:space="preserve">Положение о применения критерия оценки, </w:t>
            </w:r>
            <w:r>
              <w:br/>
              <w:t>показателя оценки, показателя оценки, детализирующего показатель оценки</w:t>
            </w:r>
          </w:p>
        </w:tc>
      </w:tr>
      <w:tr w:rsidTr="006D7723">
        <w:tblPrEx>
          <w:tblW w:w="15181" w:type="dxa"/>
          <w:tblInd w:w="108" w:type="dxa"/>
          <w:tblLayout w:type="fixed"/>
          <w:tblLook w:val="0000"/>
        </w:tblPrEx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4D" w:rsidP="006D7723">
            <w:pPr>
              <w:pStyle w:val="a0"/>
              <w:ind w:firstLine="0"/>
              <w:jc w:val="center"/>
            </w:pPr>
            <w:r>
              <w:t>1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4D" w:rsidP="005D5C1D">
            <w:pPr>
              <w:pStyle w:val="a0"/>
              <w:ind w:firstLine="0"/>
              <w:jc w:val="center"/>
            </w:pPr>
            <w:r>
              <w:t>2</w:t>
            </w:r>
          </w:p>
        </w:tc>
        <w:tc>
          <w:tcPr>
            <w:tcW w:w="8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4D" w:rsidP="005D5C1D">
            <w:pPr>
              <w:pStyle w:val="a0"/>
              <w:ind w:firstLine="0"/>
              <w:jc w:val="center"/>
            </w:pPr>
            <w:r>
              <w:t>3</w:t>
            </w:r>
          </w:p>
        </w:tc>
      </w:tr>
      <w:tr w:rsidTr="006D7723">
        <w:tblPrEx>
          <w:tblW w:w="15181" w:type="dxa"/>
          <w:tblInd w:w="108" w:type="dxa"/>
          <w:tblLayout w:type="fixed"/>
          <w:tblLook w:val="0000"/>
        </w:tblPrEx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4D" w:rsidP="00497B62">
            <w:pPr>
              <w:pStyle w:val="a0"/>
              <w:ind w:firstLine="0"/>
              <w:jc w:val="center"/>
            </w:pPr>
            <w:r w:rsidR="006D7723">
              <w:rPr>
                <w:noProof/>
              </w:rPr>
              <w:t>1</w:t>
            </w:r>
          </w:p>
        </w:tc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64D" w:rsidRPr="002D014A" w:rsidP="005D5C1D">
            <w:pPr>
              <w:pStyle w:val="a0"/>
              <w:ind w:firstLine="0"/>
              <w:rPr>
                <w:lang w:val="en-US"/>
              </w:rPr>
            </w:pPr>
            <w:r w:rsidRPr="002D014A" w:rsidR="005D5C1D">
              <w:rPr>
                <w:noProof/>
                <w:lang w:val="en-US"/>
              </w:rPr>
              <w:t>Квалификация участников закупки</w:t>
            </w:r>
            <w:r w:rsidRPr="002A392E">
              <w:rPr>
                <w:noProof/>
                <w:lang w:val="en-US"/>
              </w:rPr>
              <w:t>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  <w:r w:rsidRPr="002D014A" w:rsidR="005D5C1D">
              <w:rPr>
                <w:lang w:val="en-US"/>
              </w:rPr>
              <w:t xml:space="preserve">; </w:t>
            </w:r>
            <w:r w:rsidRPr="002D014A" w:rsidR="005D5C1D">
              <w:rPr>
                <w:noProof/>
                <w:lang w:val="en-US"/>
              </w:rPr>
              <w:t>Наличие у участников</w:t>
            </w:r>
            <w:r w:rsidR="005D5C1D">
              <w:rPr>
                <w:lang w:val="en-US"/>
              </w:rPr>
              <w:t xml:space="preserve"> закупки опыта поставки товара, выполнения работы, оказания услуги, связанного с предметом контракта</w:t>
            </w:r>
            <w:r w:rsidRPr="002D014A" w:rsidR="005D5C1D">
              <w:rPr>
                <w:lang w:val="en-US"/>
              </w:rPr>
              <w:t xml:space="preserve">; </w:t>
            </w:r>
            <w:r w:rsidRPr="002D014A" w:rsidR="005D5C1D">
              <w:rPr>
                <w:noProof/>
                <w:lang w:val="en-US"/>
              </w:rPr>
              <w:t>Наибольшая цена одного из</w:t>
            </w:r>
            <w:r w:rsidR="005D5C1D">
              <w:rPr>
                <w:lang w:val="en-US"/>
              </w:rPr>
              <w:t xml:space="preserve"> исполненных участником закупки договоров</w:t>
            </w:r>
          </w:p>
        </w:tc>
        <w:tc>
          <w:tcPr>
            <w:tcW w:w="8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64D" w:rsidP="005D5C1D">
            <w:pPr>
              <w:pStyle w:val="a0"/>
              <w:ind w:firstLine="0"/>
            </w:pPr>
            <w:r w:rsidR="005D5C1D">
              <w:rPr>
                <w:noProof/>
              </w:rPr>
              <w:t>К оценке</w:t>
            </w:r>
            <w:r>
              <w:rPr>
                <w:noProof/>
              </w:rPr>
              <w:t xml:space="preserve"> принимается исключительно исполненный договор (договора) предусматривающий выполнение работ по строительству, реконструкции, капитальному ремонту, сносу объекта капитального строительства (за исключением линейного объекта), проведение работ по сохранению объектов культурного наследия (памятников истории и культуры) народов Российской Федерации. Перечень документов, подтверждающих наличие у участника закупки опыта выполнения работы, оказания услуги, связанного с предметом контракта: - исполненный договор (договоры), -акт (акты) приемки выполненных работ, оказанных услуг, составленные при исполнении такого договора. Последний акт, составленный при исполнении договора, подтверждающего наличие у участников закупки опыта выполнения работы, оказания услуги, должен быть подписан не ранее чем за 5 лет до даты окончания срока подачи заявок. К оценке принимаются: - исключительно исполненный договор, при исполнении которого поставщиком (подрядчиком, исполнителем) исполнены требования об уплате неустоек (штрафов, пеней) (в случае начисления неустоек). - исполненный участником закупки с учетом правопреемства (в случае наличия в заявке подтверждающего документа) гражданско-правовой договор, в том числе заключенные и исполненные в соответствии с Федеральным законом. - документы, подтверждающие наличие у участника закупки опыта выполнения работы, оказания услуги, связанного с предметом контракта, в случае их представления в заявке в полном объеме и со всеми приложениями, за исключением случая, предусмотренного подпунктом "д" пункта 31 Положения (к оценке принимаются документы, в том числе если к ним не приложена проектная документация (если проектная документация является приложением к таким документам). Документы, подтверждающие наличие у участника закупки опыта выполнения работы, оказания услуги, связанного с предметом контракта, направляются в форме электронных документов или в форме электронных образов бумажных документов. цена одного из исполненных участником закупки договоров.</w:t>
            </w:r>
          </w:p>
        </w:tc>
      </w:tr>
    </w:tbl>
    <w:p w:rsidR="0050764D" w:rsidP="0050764D"/>
    <w:p w:rsidR="0050764D" w:rsidP="0050764D">
      <w:pPr>
        <w:pStyle w:val="a3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3259B6" w:rsidP="0050764D"/>
    <w:sectPr>
      <w:pgSz w:w="16837" w:h="11905" w:orient="landscape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ADB0F40-CA42-4669-B75E-39BB301F8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64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eastAsiaTheme="minorEastAsia" w:cs="Arial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1"/>
    <w:uiPriority w:val="99"/>
    <w:qFormat/>
    <w:rsid w:val="0050764D"/>
    <w:pPr>
      <w:spacing w:before="108" w:after="108"/>
      <w:jc w:val="center"/>
      <w:outlineLvl w:val="0"/>
    </w:pPr>
    <w:rPr>
      <w:b/>
      <w:bCs/>
      <w:color w:val="26282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1 Знак"/>
    <w:basedOn w:val="DefaultParagraphFont"/>
    <w:link w:val="Heading1"/>
    <w:uiPriority w:val="9"/>
    <w:rsid w:val="0050764D"/>
    <w:rPr>
      <w:rFonts w:ascii="Arial" w:hAnsi="Arial" w:eastAsiaTheme="minorEastAsia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50764D"/>
    <w:rPr>
      <w:rFonts w:cs="Times New Roman"/>
      <w:b w:val="0"/>
      <w:color w:val="106BBE"/>
    </w:rPr>
  </w:style>
  <w:style w:type="paragraph" w:customStyle="1" w:styleId="a0">
    <w:name w:val="Нормальный (таблица)"/>
    <w:basedOn w:val="Normal"/>
    <w:next w:val="Normal"/>
    <w:uiPriority w:val="99"/>
    <w:rsid w:val="0050764D"/>
  </w:style>
  <w:style w:type="paragraph" w:customStyle="1" w:styleId="a1">
    <w:name w:val="Прижатый влево"/>
    <w:basedOn w:val="Normal"/>
    <w:next w:val="Normal"/>
    <w:uiPriority w:val="99"/>
    <w:rsid w:val="0050764D"/>
  </w:style>
  <w:style w:type="character" w:customStyle="1" w:styleId="a2">
    <w:name w:val="Цветовое выделение"/>
    <w:uiPriority w:val="99"/>
    <w:rsid w:val="0050764D"/>
    <w:rPr>
      <w:b/>
      <w:color w:val="26282F"/>
    </w:rPr>
  </w:style>
  <w:style w:type="paragraph" w:customStyle="1" w:styleId="a3">
    <w:name w:val="Таблицы (моноширинный)"/>
    <w:basedOn w:val="Normal"/>
    <w:next w:val="Normal"/>
    <w:uiPriority w:val="99"/>
    <w:rsid w:val="0050764D"/>
    <w:pPr>
      <w:ind w:firstLine="0"/>
      <w:jc w:val="left"/>
    </w:pPr>
    <w:rPr>
      <w:rFonts w:ascii="Courier New" w:hAnsi="Courier New" w:cs="Courier New"/>
    </w:rPr>
  </w:style>
  <w:style w:type="table" w:styleId="TableGrid">
    <w:name w:val="Table Grid"/>
    <w:basedOn w:val="TableNormal"/>
    <w:uiPriority w:val="39"/>
    <w:rsid w:val="00AC3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18</Pages>
  <Words>2833</Words>
  <Characters>16153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Охтяров Николай Вячеславович</dc:creator>
  <cp:lastModifiedBy>Тетерин Руслан Николаевич</cp:lastModifiedBy>
  <cp:revision>13</cp:revision>
  <dcterms:created xsi:type="dcterms:W3CDTF">2022-03-11T08:46:00Z</dcterms:created>
  <dcterms:modified xsi:type="dcterms:W3CDTF">2023-06-14T08:00:00Z</dcterms:modified>
</cp:coreProperties>
</file>