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keepNext w:val="true"/>
        <w:pBdr/>
        <w:spacing w:after="0" w:line="360" w:lineRule="auto"/>
        <w:ind w:right="-28"/>
        <w:jc w:val="center"/>
        <w:rPr>
          <w:rFonts w:eastAsia="Times New Roman"/>
          <w:b/>
          <w:spacing w:val="20"/>
          <w:sz w:val="24"/>
          <w:szCs w:val="20"/>
          <w:lang w:eastAsia="ru-RU"/>
        </w:rPr>
      </w:pPr>
      <w:r>
        <w:rPr>
          <w:rFonts w:eastAsia="Times New Roman"/>
          <w:b/>
          <w:spacing w:val="20"/>
          <w:sz w:val="32"/>
          <w:szCs w:val="20"/>
          <w:lang w:eastAsia="ru-RU"/>
        </w:rPr>
        <w:t xml:space="preserve">ПРОТОКОЛ</w:t>
      </w:r>
      <w:r>
        <w:rPr>
          <w:rFonts w:eastAsia="Times New Roman"/>
          <w:b/>
          <w:spacing w:val="20"/>
          <w:sz w:val="24"/>
          <w:szCs w:val="20"/>
          <w:lang w:eastAsia="ru-RU"/>
        </w:rPr>
      </w:r>
    </w:p>
    <w:p>
      <w:pPr>
        <w:pBdr/>
        <w:spacing w:after="0" w:line="240" w:lineRule="auto"/>
        <w:ind w:right="-1"/>
        <w:jc w:val="center"/>
        <w:rPr>
          <w:rFonts w:eastAsia="Times New Roman"/>
          <w:sz w:val="24"/>
          <w:szCs w:val="24"/>
          <w:lang w:eastAsia="ru-RU"/>
        </w:rPr>
      </w:pPr>
      <w:r>
        <w:rPr>
          <w:sz w:val="28"/>
          <w:szCs w:val="28"/>
        </w:rPr>
        <w:t xml:space="preserve">подведения итогов определения поставщика (подрядчика, исполнителя)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(0142200001324020704)</w:t>
      </w:r>
      <w:r>
        <w:rPr>
          <w:rFonts w:eastAsia="Times New Roman"/>
          <w:sz w:val="24"/>
          <w:szCs w:val="24"/>
          <w:lang w:eastAsia="ru-RU"/>
        </w:rPr>
      </w:r>
    </w:p>
    <w:p>
      <w:pPr>
        <w:pBdr/>
        <w:spacing w:after="0" w:line="240" w:lineRule="auto"/>
        <w:ind w:right="5243" w:left="3828"/>
        <w:jc w:val="both"/>
        <w:rPr>
          <w:rFonts w:eastAsia="Times New Roman"/>
          <w:sz w:val="24"/>
          <w:szCs w:val="20"/>
          <w:lang w:eastAsia="ru-RU"/>
        </w:rPr>
      </w:pPr>
      <w:r>
        <w:rPr>
          <w:rFonts w:eastAsia="Times New Roman"/>
          <w:sz w:val="24"/>
          <w:szCs w:val="20"/>
          <w:lang w:eastAsia="ru-RU"/>
        </w:rPr>
      </w:r>
      <w:r>
        <w:rPr>
          <w:rFonts w:eastAsia="Times New Roman"/>
          <w:sz w:val="24"/>
          <w:szCs w:val="20"/>
          <w:lang w:eastAsia="ru-RU"/>
        </w:rPr>
      </w:r>
    </w:p>
    <w:tbl>
      <w:tblPr>
        <w:tblW w:w="10206" w:type="dxa"/>
        <w:tblInd w:w="-5" w:type="dxa"/>
        <w:tblBorders/>
        <w:tblLayout w:type="fixed"/>
        <w:tblLook w:val="04A0" w:firstRow="1" w:lastRow="0" w:firstColumn="1" w:lastColumn="0" w:noHBand="0" w:noVBand="1"/>
      </w:tblPr>
      <w:tblGrid>
        <w:gridCol w:w="3544"/>
        <w:gridCol w:w="3260"/>
        <w:gridCol w:w="3402"/>
      </w:tblGrid>
      <w:tr>
        <w:trPr/>
        <w:tc>
          <w:tcPr>
            <w:tcBorders/>
            <w:tcW w:w="3544" w:type="dxa"/>
            <w:vAlign w:val="bottom"/>
            <w:textDirection w:val="lrTb"/>
            <w:noWrap w:val="false"/>
          </w:tcPr>
          <w:p>
            <w:pPr>
              <w:pStyle w:val="652"/>
              <w:pBdr/>
              <w:tabs>
                <w:tab w:val="left" w:leader="none" w:pos="567"/>
              </w:tabs>
              <w:spacing w:after="0" w:line="240" w:lineRule="auto"/>
              <w:ind w:left="0"/>
              <w:rPr>
                <w:rFonts w:cs="Times New Roman"/>
                <w:bCs/>
              </w:rPr>
            </w:pPr>
            <w:r>
              <w:rPr>
                <w:rFonts w:cs="Times New Roman"/>
                <w:lang w:eastAsia="ru-RU"/>
              </w:rPr>
              <w:t xml:space="preserve">17.09.2024</w:t>
            </w:r>
            <w:r>
              <w:rPr>
                <w:rFonts w:cs="Times New Roman"/>
                <w:bCs/>
              </w:rPr>
            </w:r>
          </w:p>
        </w:tc>
        <w:tc>
          <w:tcPr>
            <w:tcBorders/>
            <w:tcW w:w="3260" w:type="dxa"/>
            <w:vAlign w:val="bottom"/>
            <w:textDirection w:val="lrTb"/>
            <w:noWrap w:val="false"/>
          </w:tcPr>
          <w:p>
            <w:pPr>
              <w:pStyle w:val="652"/>
              <w:pBdr/>
              <w:tabs>
                <w:tab w:val="left" w:leader="none" w:pos="567"/>
              </w:tabs>
              <w:spacing w:after="60" w:before="60" w:line="240" w:lineRule="auto"/>
              <w:ind w:left="0"/>
              <w:jc w:val="right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  <w:r>
              <w:rPr>
                <w:rFonts w:cs="Times New Roman"/>
                <w:bCs/>
              </w:rPr>
            </w:r>
          </w:p>
        </w:tc>
        <w:tc>
          <w:tcPr>
            <w:tcBorders/>
            <w:tcW w:w="3402" w:type="dxa"/>
            <w:textDirection w:val="lrTb"/>
            <w:noWrap w:val="false"/>
          </w:tcPr>
          <w:p>
            <w:pPr>
              <w:pStyle w:val="652"/>
              <w:pBdr/>
              <w:tabs>
                <w:tab w:val="left" w:leader="none" w:pos="567"/>
              </w:tabs>
              <w:spacing w:after="60" w:before="60" w:line="240" w:lineRule="auto"/>
              <w:ind w:left="0"/>
              <w:rPr>
                <w:rFonts w:cs="Times New Roman"/>
                <w:lang w:eastAsia="ru-RU"/>
              </w:rPr>
            </w:pPr>
            <w:r>
              <w:rPr>
                <w:rFonts w:cs="Times New Roman"/>
                <w:bCs/>
              </w:rPr>
              <w:t xml:space="preserve">№ </w:t>
            </w:r>
            <w:r>
              <w:rPr>
                <w:rFonts w:cs="Times New Roman"/>
                <w:lang w:eastAsia="ru-RU"/>
              </w:rPr>
              <w:t xml:space="preserve">0142200001324020704-1-1</w:t>
            </w:r>
            <w:r>
              <w:rPr>
                <w:rFonts w:cs="Times New Roman"/>
                <w:lang w:eastAsia="ru-RU"/>
              </w:rPr>
            </w:r>
          </w:p>
        </w:tc>
      </w:tr>
      <w:tr>
        <w:trPr/>
        <w:tc>
          <w:tcPr>
            <w:gridSpan w:val="3"/>
            <w:tcBorders/>
            <w:tcW w:w="10206" w:type="dxa"/>
            <w:vAlign w:val="bottom"/>
            <w:textDirection w:val="lrTb"/>
            <w:noWrap w:val="false"/>
          </w:tcPr>
          <w:p>
            <w:pPr>
              <w:pStyle w:val="652"/>
              <w:pBdr/>
              <w:tabs>
                <w:tab w:val="left" w:leader="none" w:pos="567"/>
              </w:tabs>
              <w:spacing w:after="60" w:before="60" w:line="240" w:lineRule="auto"/>
              <w:ind w:left="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lang w:eastAsia="ru-RU"/>
              </w:rPr>
              <w:t xml:space="preserve">Самарская обл, Самара г</w:t>
            </w:r>
            <w:r>
              <w:rPr>
                <w:rFonts w:cs="Times New Roman"/>
                <w:bCs/>
              </w:rPr>
            </w:r>
          </w:p>
        </w:tc>
      </w:tr>
    </w:tbl>
    <w:p>
      <w:pPr>
        <w:pStyle w:val="652"/>
        <w:pBdr/>
        <w:tabs>
          <w:tab w:val="left" w:leader="none" w:pos="567"/>
        </w:tabs>
        <w:spacing w:after="60" w:before="60" w:line="240" w:lineRule="auto"/>
        <w:ind w:left="0"/>
        <w:rPr>
          <w:rFonts w:cs="Times New Roman"/>
          <w:bCs/>
        </w:rPr>
      </w:pPr>
      <w:r>
        <w:rPr>
          <w:rFonts w:cs="Times New Roman"/>
          <w:bCs/>
        </w:rPr>
      </w:r>
      <w:r>
        <w:rPr>
          <w:rFonts w:cs="Times New Roman"/>
          <w:bCs/>
        </w:rPr>
      </w:r>
    </w:p>
    <w:p>
      <w:pPr>
        <w:pStyle w:val="654"/>
        <w:widowControl w:val="false"/>
        <w:numPr>
          <w:ilvl w:val="0"/>
          <w:numId w:val="13"/>
        </w:numPr>
        <w:pBdr/>
        <w:spacing w:after="0" w:before="60" w:line="240" w:lineRule="auto"/>
        <w:ind/>
        <w:rPr>
          <w:rFonts w:eastAsia="Times New Roman"/>
        </w:rPr>
      </w:pPr>
      <w:r>
        <w:rPr>
          <w:rFonts w:eastAsia="Times New Roman"/>
        </w:rPr>
        <w:t xml:space="preserve">Организатор: </w:t>
      </w:r>
      <w:r>
        <w:rPr>
          <w:rFonts w:eastAsia="Times New Roman"/>
        </w:rPr>
      </w:r>
    </w:p>
    <w:p>
      <w:pPr>
        <w:widowControl w:val="false"/>
        <w:pBdr/>
        <w:spacing w:after="0" w:before="60" w:line="240" w:lineRule="auto"/>
        <w:ind/>
        <w:rPr>
          <w:rFonts w:eastAsia="Times New Roman"/>
        </w:rPr>
      </w:pPr>
      <w:r>
        <w:rPr>
          <w:rFonts w:eastAsia="Times New Roman"/>
        </w:rPr>
        <w:t xml:space="preserve">Уполномоченный орган ГЛАВНОЕ  УПРАВЛЕНИЕ  ОРГАНИЗАЦИИ  ТОРГОВ  САМАРСКОЙ ОБЛАСТИ.</w:t>
      </w:r>
      <w:r>
        <w:rPr>
          <w:rFonts w:eastAsia="Times New Roman"/>
        </w:rPr>
      </w:r>
    </w:p>
    <w:p>
      <w:pPr>
        <w:pStyle w:val="654"/>
        <w:widowControl w:val="false"/>
        <w:numPr>
          <w:ilvl w:val="0"/>
          <w:numId w:val="13"/>
        </w:numPr>
        <w:pBdr/>
        <w:spacing w:after="0" w:before="60" w:line="240" w:lineRule="auto"/>
        <w:ind/>
        <w:rPr>
          <w:rFonts w:eastAsia="Times New Roman"/>
        </w:rPr>
      </w:pPr>
      <w:r>
        <w:rPr>
          <w:rFonts w:eastAsia="Times New Roman"/>
        </w:rPr>
        <w:t xml:space="preserve">Заказчик(и): </w:t>
      </w:r>
      <w:r>
        <w:rPr>
          <w:rFonts w:eastAsia="Times New Roman"/>
        </w:rPr>
      </w:r>
    </w:p>
    <w:tbl>
      <w:tblPr>
        <w:tblStyle w:val="653"/>
        <w:tblW w:w="10093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0093"/>
      </w:tblGrid>
      <w:tr>
        <w:trPr/>
        <w:tc>
          <w:tcPr>
            <w:tcBorders/>
            <w:tcW w:w="1009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before="60"/>
              <w:ind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МУНИЦИПАЛЬНОЕ КАЗЕННОЕ УЧРЕЖДЕНИЕ ГОРОДСКОГО ОКРУГА СЫЗРАНЬ "СЫЗРАНЬСТРОЙЗАКАЗЧИК"</w:t>
            </w:r>
            <w:r>
              <w:rPr>
                <w:rFonts w:eastAsia="Times New Roman"/>
                <w:sz w:val="22"/>
                <w:szCs w:val="22"/>
              </w:rPr>
            </w:r>
          </w:p>
        </w:tc>
      </w:tr>
    </w:tbl>
    <w:p>
      <w:pPr>
        <w:pStyle w:val="654"/>
        <w:widowControl w:val="false"/>
        <w:numPr>
          <w:ilvl w:val="0"/>
          <w:numId w:val="13"/>
        </w:numPr>
        <w:pBdr/>
        <w:spacing w:after="0" w:before="60" w:line="240" w:lineRule="auto"/>
        <w:ind/>
        <w:rPr/>
      </w:pPr>
      <w:r>
        <w:t xml:space="preserve">Идентификационный код закупки: 243632507190463250100101150014221414.</w:t>
      </w:r>
      <w:r>
        <w:t xml:space="preserve"> </w:t>
      </w:r>
      <w:r/>
    </w:p>
    <w:p>
      <w:pPr>
        <w:pStyle w:val="654"/>
        <w:widowControl w:val="false"/>
        <w:numPr>
          <w:ilvl w:val="0"/>
          <w:numId w:val="13"/>
        </w:numPr>
        <w:pBdr/>
        <w:spacing w:after="0" w:before="60" w:line="240" w:lineRule="auto"/>
        <w:ind/>
        <w:jc w:val="both"/>
        <w:rPr/>
      </w:pPr>
      <w:r>
        <w:t xml:space="preserve">Извещение об осуществлении закупки размещено 06.09.2024 16:42 (MSK+01:00) на сайте Единой информационной системы в сфере закупок (ЕИС) по адресу в сети «Интернет»: http://zakupki.gov.ru и на сайте </w:t>
      </w:r>
      <w:r>
        <w:t xml:space="preserve">электронной торговой площадки «Фабрикант»</w:t>
      </w:r>
      <w:r>
        <w:t xml:space="preserve"> по адресу в сети «Интернет»: http://www.etp-ets.ru.</w:t>
      </w:r>
      <w:r/>
    </w:p>
    <w:p>
      <w:pPr>
        <w:pStyle w:val="654"/>
        <w:widowControl w:val="false"/>
        <w:numPr>
          <w:ilvl w:val="0"/>
          <w:numId w:val="13"/>
        </w:numPr>
        <w:pBdr/>
        <w:spacing w:after="0" w:before="60" w:line="240" w:lineRule="auto"/>
        <w:ind/>
        <w:rPr/>
      </w:pPr>
      <w:r>
        <w:t xml:space="preserve">Наименование объекта закупки: Выполнение строительно-монтажных работ по объекту: "Проектирование и строительство канализационных очистных сооружений г.о. Сызрань, пос. Новокашпирский"</w:t>
      </w:r>
      <w:r>
        <w:t xml:space="preserve">.</w:t>
      </w:r>
      <w:r/>
    </w:p>
    <w:p>
      <w:pPr>
        <w:pStyle w:val="654"/>
        <w:widowControl w:val="false"/>
        <w:numPr>
          <w:ilvl w:val="0"/>
          <w:numId w:val="13"/>
        </w:numPr>
        <w:pBdr/>
        <w:spacing w:after="0" w:before="60" w:line="240" w:lineRule="auto"/>
        <w:ind/>
        <w:rPr/>
      </w:pPr>
      <w:r>
        <w:t xml:space="preserve">Начальная (максимальная) цена контракта, руб.: 4 477 437.22</w:t>
      </w:r>
      <w:r/>
    </w:p>
    <w:p>
      <w:pPr>
        <w:widowControl w:val="false"/>
        <w:pBdr/>
        <w:spacing w:after="0" w:before="60" w:line="240" w:lineRule="auto"/>
        <w:ind/>
        <w:rPr/>
      </w:pPr>
      <w:r>
        <w:t xml:space="preserve"/>
      </w:r>
      <w:r/>
    </w:p>
    <w:p>
      <w:pPr>
        <w:pStyle w:val="654"/>
        <w:keepNext w:val="true"/>
        <w:widowControl w:val="false"/>
        <w:numPr>
          <w:ilvl w:val="0"/>
          <w:numId w:val="13"/>
        </w:numPr>
        <w:pBdr/>
        <w:spacing w:after="0" w:before="60" w:line="240" w:lineRule="auto"/>
        <w:ind/>
        <w:jc w:val="both"/>
        <w:rPr/>
      </w:pPr>
      <w:r>
        <w:t xml:space="preserve">Состав </w:t>
      </w:r>
      <w:r>
        <w:t xml:space="preserve">комиссии по осуществлению закупок</w:t>
      </w:r>
      <w:r>
        <w:t xml:space="preserve">:</w:t>
      </w:r>
      <w:r/>
    </w:p>
    <w:tbl>
      <w:tblPr>
        <w:tblW w:w="10205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530"/>
        <w:gridCol w:w="2552"/>
        <w:gridCol w:w="3353"/>
        <w:gridCol w:w="1770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before="60" w:line="240" w:lineRule="auto"/>
              <w:ind/>
              <w:jc w:val="center"/>
              <w:rPr>
                <w:b/>
              </w:rPr>
            </w:pPr>
            <w:r>
              <w:rPr>
                <w:b/>
              </w:rPr>
              <w:t xml:space="preserve">Роль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before="60" w:line="240" w:lineRule="auto"/>
              <w:ind/>
              <w:jc w:val="center"/>
              <w:rPr>
                <w:b/>
              </w:rPr>
            </w:pPr>
            <w:r>
              <w:rPr>
                <w:b/>
              </w:rPr>
              <w:t xml:space="preserve">Должность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3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before="60" w:line="240" w:lineRule="auto"/>
              <w:ind/>
              <w:jc w:val="center"/>
              <w:rPr>
                <w:b/>
              </w:rPr>
            </w:pPr>
            <w:r>
              <w:rPr>
                <w:b/>
              </w:rPr>
              <w:t xml:space="preserve">Фамилия, имя, отчество</w:t>
            </w:r>
            <w:r>
              <w:rPr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0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0" w:before="60" w:line="240" w:lineRule="auto"/>
              <w:ind/>
              <w:jc w:val="center"/>
              <w:rPr>
                <w:b/>
              </w:rPr>
            </w:pPr>
            <w:r>
              <w:rPr>
                <w:b/>
              </w:rPr>
              <w:t xml:space="preserve">Статус</w:t>
            </w:r>
            <w:r>
              <w:rPr>
                <w:b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rPr/>
            </w:pPr>
            <w:r>
              <w:t xml:space="preserve"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rPr/>
            </w:pPr>
            <w:r>
              <w:t xml:space="preserve"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53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rPr/>
            </w:pPr>
            <w:r>
              <w:t xml:space="preserve"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0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/>
            </w:pPr>
            <w:r>
              <w:t xml:space="preserve"/>
            </w:r>
            <w:r/>
          </w:p>
        </w:tc>
      </w:tr>
    </w:tbl>
    <w:p>
      <w:pPr>
        <w:widowControl w:val="false"/>
        <w:pBdr/>
        <w:spacing w:after="0" w:before="60" w:line="240" w:lineRule="auto"/>
        <w:ind/>
        <w:jc w:val="both"/>
        <w:rPr/>
      </w:pPr>
      <w:r>
        <w:t xml:space="preserve">Количество членов комиссии, присутствующих на заседании:</w:t>
      </w:r>
      <w:r>
        <w:t xml:space="preserve"> </w:t>
      </w:r>
      <w:r>
        <w:t xml:space="preserve">.</w:t>
      </w:r>
      <w:r>
        <w:t xml:space="preserve"> </w:t>
      </w:r>
      <w:r>
        <w:rPr>
          <w:rFonts w:eastAsia="Times New Roman"/>
          <w:lang w:eastAsia="ru-RU"/>
        </w:rPr>
        <w:t xml:space="preserve">Кворум имеется. Комиссия правомочна.</w:t>
      </w:r>
      <w:r/>
    </w:p>
    <w:p>
      <w:pPr>
        <w:pStyle w:val="654"/>
        <w:keepNext w:val="true"/>
        <w:widowControl w:val="false"/>
        <w:numPr>
          <w:ilvl w:val="0"/>
          <w:numId w:val="13"/>
        </w:numPr>
        <w:pBdr/>
        <w:spacing w:after="0" w:before="60" w:line="240" w:lineRule="auto"/>
        <w:ind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В связи </w:t>
      </w:r>
      <w:r>
        <w:rPr>
          <w:rFonts w:eastAsia="Times New Roman"/>
          <w:lang w:eastAsia="ru-RU"/>
        </w:rPr>
        <w:t xml:space="preserve">с тем, что по окончании срока подачи заявок на участие в закупке не подано ни одной заявки, на основании п.3 ч.1 ст.52 Федерального закона № 44-ФЗ определение поставщика (подрядчика, исполнителя) по электронному запросу котировок признается несостоявшимся.</w:t>
      </w:r>
      <w:r>
        <w:rPr>
          <w:rFonts w:eastAsia="Times New Roman"/>
          <w:lang w:eastAsia="ru-RU"/>
        </w:rPr>
      </w:r>
    </w:p>
    <w:p>
      <w:pPr>
        <w:pStyle w:val="654"/>
        <w:keepNext w:val="true"/>
        <w:widowControl w:val="false"/>
        <w:numPr>
          <w:ilvl w:val="0"/>
          <w:numId w:val="13"/>
        </w:numPr>
        <w:pBdr/>
        <w:spacing w:after="0" w:before="60" w:line="240" w:lineRule="auto"/>
        <w:ind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На основании п.2 ч.3 ст.50 Федерал</w:t>
      </w:r>
      <w:bookmarkStart w:id="0" w:name="_GoBack"/>
      <w:r/>
      <w:bookmarkEnd w:id="0"/>
      <w:r>
        <w:rPr>
          <w:rFonts w:eastAsia="Times New Roman"/>
          <w:lang w:eastAsia="ru-RU"/>
        </w:rPr>
        <w:t xml:space="preserve">ьного закона № 44-ФЗ настоящий протокол подведения итогов</w:t>
      </w:r>
      <w:r>
        <w:t xml:space="preserve"> </w:t>
      </w:r>
      <w:r>
        <w:rPr>
          <w:rFonts w:eastAsia="Times New Roman"/>
          <w:lang w:eastAsia="ru-RU"/>
        </w:rPr>
        <w:t xml:space="preserve">определения поставщика (подрядчика, исполнителя) </w:t>
      </w:r>
      <w:r>
        <w:rPr>
          <w:rFonts w:eastAsia="Times New Roman"/>
          <w:lang w:eastAsia="ru-RU"/>
        </w:rPr>
        <w:t xml:space="preserve">сформирован заказчиком с использованием электронной площадки, подписан усиленной электронной подписью лица, имеющего право действовать от имени заказчика и направлен оператору электронной площадки. Протокол будет размещен на сайте </w:t>
      </w:r>
      <w:r>
        <w:rPr>
          <w:rFonts w:eastAsia="Times New Roman"/>
          <w:lang w:eastAsia="ru-RU"/>
        </w:rPr>
        <w:t xml:space="preserve">электронной торговой площадки «Фабрикант»</w:t>
      </w:r>
      <w:r>
        <w:rPr>
          <w:rFonts w:eastAsia="Times New Roman"/>
          <w:lang w:eastAsia="ru-RU"/>
        </w:rPr>
        <w:t xml:space="preserve"> по адресу в сети «Интернет»: http://www.etp-ets.ru и на сайте Единой информационной системы в сфере закупок (ЕИС) по адресу в сети «Интернет»: http://zakupki.gov.ru.</w:t>
      </w:r>
      <w:r>
        <w:rPr>
          <w:rFonts w:eastAsia="Times New Roman"/>
          <w:lang w:eastAsia="ru-RU"/>
        </w:rPr>
      </w:r>
    </w:p>
    <w:p>
      <w:pPr>
        <w:keepNext w:val="true"/>
        <w:widowControl w:val="false"/>
        <w:pBdr/>
        <w:spacing w:after="0" w:before="60" w:line="240" w:lineRule="auto"/>
        <w:ind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sectPr>
      <w:footnotePr/>
      <w:endnotePr/>
      <w:type w:val="nextPage"/>
      <w:pgSz w:h="16838" w:orient="portrait" w:w="11906"/>
      <w:pgMar w:top="1134" w:right="850" w:bottom="1134" w:left="993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b w:val="0"/>
        <w:i w:val="0"/>
        <w:color w:val="auto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numStyleLink w:val="656"/>
    <w:lvl w:ilvl="0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color w:val="auto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numStyleLink w:val="656"/>
    <w:lvl w:ilvl="0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b w:val="0"/>
        <w:i w:val="0"/>
        <w:color w:val="auto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b w:val="0"/>
        <w:i w:val="0"/>
        <w:color w:val="00000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rFonts w:hint="default"/>
        <w:color w:val="auto"/>
      </w:rPr>
      <w:start w:val="1"/>
      <w:suff w:val="tab"/>
    </w:lvl>
    <w:lvl w:ilvl="1">
      <w:isLgl w:val="false"/>
      <w:lvlJc w:val="left"/>
      <w:lvlText w:val="%2)"/>
      <w:numFmt w:val="lowerLetter"/>
      <w:pPr>
        <w:pBdr/>
        <w:spacing/>
        <w:ind w:hanging="360" w:left="720"/>
      </w:pPr>
      <w:rPr>
        <w:rFonts w:hint="default"/>
      </w:rPr>
      <w:start w:val="1"/>
      <w:suff w:val="tab"/>
    </w:lvl>
    <w:lvl w:ilvl="2">
      <w:isLgl w:val="false"/>
      <w:lvlJc w:val="left"/>
      <w:lvlText w:val="%3)"/>
      <w:numFmt w:val="lowerRoman"/>
      <w:pPr>
        <w:pBdr/>
        <w:spacing/>
        <w:ind w:hanging="360" w:left="1080"/>
      </w:pPr>
      <w:rPr>
        <w:rFonts w:hint="default"/>
      </w:rPr>
      <w:start w:val="1"/>
      <w:suff w:val="tab"/>
    </w:lvl>
    <w:lvl w:ilvl="3">
      <w:isLgl w:val="false"/>
      <w:lvlJc w:val="left"/>
      <w:lvlText w:val="(%4)"/>
      <w:numFmt w:val="decimal"/>
      <w:pPr>
        <w:pBdr/>
        <w:spacing/>
        <w:ind w:hanging="360" w:left="1440"/>
      </w:pPr>
      <w:rPr>
        <w:rFonts w:hint="default"/>
      </w:rPr>
      <w:start w:val="1"/>
      <w:suff w:val="tab"/>
    </w:lvl>
    <w:lvl w:ilvl="4">
      <w:isLgl w:val="false"/>
      <w:lvlJc w:val="left"/>
      <w:lvlText w:val="(%5)"/>
      <w:numFmt w:val="lowerLetter"/>
      <w:pPr>
        <w:pBdr/>
        <w:spacing/>
        <w:ind w:hanging="360" w:left="1800"/>
      </w:pPr>
      <w:rPr>
        <w:rFonts w:hint="default"/>
      </w:rPr>
      <w:start w:val="1"/>
      <w:suff w:val="tab"/>
    </w:lvl>
    <w:lvl w:ilvl="5">
      <w:isLgl w:val="false"/>
      <w:lvlJc w:val="left"/>
      <w:lvlText w:val="(%6)"/>
      <w:numFmt w:val="lowerRoman"/>
      <w:pPr>
        <w:pBdr/>
        <w:spacing/>
        <w:ind w:hanging="360" w:left="2160"/>
      </w:pPr>
      <w:rPr>
        <w:rFonts w:hint="default"/>
      </w:rPr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2520"/>
      </w:pPr>
      <w:rPr>
        <w:rFonts w:hint="default"/>
      </w:rPr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2880"/>
      </w:pPr>
      <w:rPr>
        <w:rFonts w:hint="default"/>
      </w:rPr>
      <w:start w:val="1"/>
      <w:suff w:val="tab"/>
    </w:lvl>
    <w:lvl w:ilvl="8">
      <w:isLgl w:val="false"/>
      <w:lvlJc w:val="left"/>
      <w:lvlText w:val="%9."/>
      <w:numFmt w:val="lowerRoman"/>
      <w:pPr>
        <w:pBdr/>
        <w:spacing/>
        <w:ind w:hanging="360" w:left="3240"/>
      </w:pPr>
      <w:rPr>
        <w:rFonts w:hint="default"/>
      </w:rPr>
      <w:start w:val="1"/>
      <w:suff w:val="tab"/>
    </w:lvl>
  </w:abstractNum>
  <w:abstractNum w:abstractNumId="7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b w:val="0"/>
        <w:i w:val="0"/>
        <w:color w:val="auto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b w:val="0"/>
        <w:i w:val="0"/>
        <w:color w:val="00000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left"/>
      <w:lvlText/>
      <w:numFmt w:val="none"/>
      <w:pPr>
        <w:pBdr/>
        <w:tabs>
          <w:tab w:val="num" w:leader="none" w:pos="360"/>
        </w:tabs>
        <w:spacing/>
        <w:ind w:firstLine="0" w:left="0"/>
      </w:pPr>
      <w:rPr/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2">
    <w:numStyleLink w:val="656"/>
    <w:lvl w:ilvl="0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3">
    <w:numStyleLink w:val="656"/>
    <w:lvl w:ilvl="0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4">
    <w:styleLink w:val="656"/>
    <w:lvl w:ilvl="0">
      <w:isLgl w:val="false"/>
      <w:lvlJc w:val="left"/>
      <w:lvlText w:val="%1."/>
      <w:numFmt w:val="decimal"/>
      <w:pPr>
        <w:pBdr/>
        <w:spacing/>
        <w:ind w:hanging="357" w:left="357"/>
      </w:pPr>
      <w:pStyle w:val="656"/>
      <w:rPr>
        <w:rFonts w:hint="default"/>
        <w:color w:val="auto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>
        <w:rFonts w:hint="default"/>
      </w:rPr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>
        <w:rFonts w:hint="default"/>
      </w:rPr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>
        <w:rFonts w:hint="default"/>
      </w:rPr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>
        <w:rFonts w:hint="default"/>
      </w:rPr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>
        <w:rFonts w:hint="default"/>
      </w:rPr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>
        <w:rFonts w:hint="default"/>
      </w:rPr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>
        <w:rFonts w:hint="default"/>
      </w:rPr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>
        <w:rFonts w:hint="default"/>
      </w:rPr>
      <w:start w:val="1"/>
      <w:suff w:val="tab"/>
    </w:lvl>
  </w:abstractNum>
  <w:num w:numId="1">
    <w:abstractNumId w:val="1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6"/>
  </w:num>
  <w:num w:numId="8">
    <w:abstractNumId w:val="0"/>
  </w:num>
  <w:num w:numId="9">
    <w:abstractNumId w:val="8"/>
  </w:num>
  <w:num w:numId="10">
    <w:abstractNumId w:val="2"/>
  </w:num>
  <w:num w:numId="11">
    <w:abstractNumId w:val="14"/>
  </w:num>
  <w:num w:numId="12">
    <w:abstractNumId w:val="13"/>
  </w:num>
  <w:num w:numId="13">
    <w:abstractNumId w:val="12"/>
  </w:num>
  <w:num w:numId="14">
    <w:abstractNumId w:val="1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8"/>
    <w:next w:val="648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9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48"/>
    <w:next w:val="648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9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48"/>
    <w:next w:val="648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9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48"/>
    <w:next w:val="648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9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8"/>
    <w:next w:val="648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9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8"/>
    <w:next w:val="648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9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8"/>
    <w:next w:val="648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9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8"/>
    <w:next w:val="648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9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8"/>
    <w:next w:val="648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9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48"/>
    <w:next w:val="648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49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48"/>
    <w:next w:val="648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49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48"/>
    <w:next w:val="648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48"/>
    <w:next w:val="648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48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49"/>
    <w:link w:val="42"/>
    <w:uiPriority w:val="99"/>
    <w:pPr>
      <w:pBdr/>
      <w:spacing/>
      <w:ind/>
    </w:pPr>
  </w:style>
  <w:style w:type="paragraph" w:styleId="44">
    <w:name w:val="Footer"/>
    <w:basedOn w:val="648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649"/>
    <w:link w:val="44"/>
    <w:uiPriority w:val="99"/>
    <w:pPr>
      <w:pBdr/>
      <w:spacing/>
      <w:ind/>
    </w:pPr>
  </w:style>
  <w:style w:type="paragraph" w:styleId="46">
    <w:name w:val="Caption"/>
    <w:basedOn w:val="648"/>
    <w:next w:val="64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9">
    <w:name w:val="Table Grid Light"/>
    <w:basedOn w:val="65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5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5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5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5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5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5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5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5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5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5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5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75">
    <w:name w:val="footnote text"/>
    <w:basedOn w:val="648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49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48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49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48"/>
    <w:next w:val="648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48"/>
    <w:next w:val="648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48"/>
    <w:next w:val="648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48"/>
    <w:next w:val="648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48"/>
    <w:next w:val="648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48"/>
    <w:next w:val="648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48"/>
    <w:next w:val="648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48"/>
    <w:next w:val="648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48"/>
    <w:next w:val="648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48"/>
    <w:next w:val="648"/>
    <w:uiPriority w:val="99"/>
    <w:unhideWhenUsed/>
    <w:pPr>
      <w:pBdr/>
      <w:spacing w:after="0" w:afterAutospacing="0"/>
      <w:ind/>
    </w:pPr>
  </w:style>
  <w:style w:type="paragraph" w:styleId="648" w:default="1">
    <w:name w:val="Normal"/>
    <w:qFormat/>
    <w:pPr>
      <w:pBdr/>
      <w:spacing/>
      <w:ind/>
    </w:pPr>
    <w:rPr>
      <w:rFonts w:ascii="Times New Roman" w:hAnsi="Times New Roman" w:eastAsia="Calibri" w:cs="Times New Roman"/>
    </w:rPr>
  </w:style>
  <w:style w:type="character" w:styleId="649" w:default="1">
    <w:name w:val="Default Paragraph Font"/>
    <w:uiPriority w:val="1"/>
    <w:semiHidden/>
    <w:unhideWhenUsed/>
    <w:pPr>
      <w:pBdr/>
      <w:spacing/>
      <w:ind/>
    </w:pPr>
  </w:style>
  <w:style w:type="table" w:styleId="65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51" w:default="1">
    <w:name w:val="No List"/>
    <w:uiPriority w:val="99"/>
    <w:semiHidden/>
    <w:unhideWhenUsed/>
    <w:pPr>
      <w:pBdr/>
      <w:spacing/>
      <w:ind/>
    </w:pPr>
  </w:style>
  <w:style w:type="paragraph" w:styleId="652" w:customStyle="1">
    <w:name w:val="List Paragraph1"/>
    <w:basedOn w:val="648"/>
    <w:pPr>
      <w:pBdr/>
      <w:spacing/>
      <w:ind w:left="720"/>
    </w:pPr>
    <w:rPr>
      <w:rFonts w:eastAsia="Times New Roman" w:cs="Calibri"/>
    </w:rPr>
  </w:style>
  <w:style w:type="table" w:styleId="653">
    <w:name w:val="Table Grid"/>
    <w:basedOn w:val="650"/>
    <w:uiPriority w:val="59"/>
    <w:pPr>
      <w:pBdr/>
      <w:spacing w:after="0" w:line="240" w:lineRule="auto"/>
      <w:ind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54">
    <w:name w:val="List Paragraph"/>
    <w:basedOn w:val="648"/>
    <w:uiPriority w:val="34"/>
    <w:qFormat/>
    <w:pPr>
      <w:pBdr/>
      <w:spacing/>
      <w:ind w:left="720"/>
      <w:contextualSpacing w:val="true"/>
    </w:pPr>
  </w:style>
  <w:style w:type="paragraph" w:styleId="655">
    <w:name w:val="No Spacing"/>
    <w:uiPriority w:val="1"/>
    <w:qFormat/>
    <w:pPr>
      <w:pBdr/>
      <w:spacing w:after="0" w:line="240" w:lineRule="auto"/>
      <w:ind/>
    </w:pPr>
    <w:rPr>
      <w:rFonts w:ascii="Calibri" w:hAnsi="Calibri" w:eastAsia="Calibri" w:cs="Times New Roman"/>
    </w:rPr>
  </w:style>
  <w:style w:type="numbering" w:styleId="656" w:customStyle="1">
    <w:name w:val="Стиль1"/>
    <w:uiPriority w:val="99"/>
    <w:pPr>
      <w:numPr>
        <w:ilvl w:val="0"/>
        <w:numId w:val="11"/>
      </w:numPr>
      <w:pBdr/>
      <w:spacing/>
      <w:ind/>
    </w:pPr>
  </w:style>
  <w:style w:type="character" w:styleId="657">
    <w:name w:val="Hyperlink"/>
    <w:basedOn w:val="649"/>
    <w:uiPriority w:val="99"/>
    <w:semiHidden/>
    <w:unhideWhenUsed/>
    <w:pPr>
      <w:pBdr/>
      <w:spacing/>
      <w:ind/>
    </w:pPr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2023-05-10T07:26:00Z</dcterms:created>
  <dcterms:modified xsi:type="dcterms:W3CDTF">2024-08-16T05:51:40Z</dcterms:modified>
</cp:coreProperties>
</file>