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72" w:rsidRDefault="00062C72" w:rsidP="00062C72">
      <w:pPr>
        <w:autoSpaceDN w:val="0"/>
        <w:ind w:firstLine="1134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1</w:t>
      </w:r>
    </w:p>
    <w:p w:rsidR="00062C72" w:rsidRDefault="00062C72" w:rsidP="00062C72">
      <w:pPr>
        <w:autoSpaceDN w:val="0"/>
        <w:ind w:firstLine="1134"/>
        <w:jc w:val="right"/>
        <w:rPr>
          <w:sz w:val="18"/>
          <w:szCs w:val="18"/>
        </w:rPr>
      </w:pPr>
      <w:r>
        <w:rPr>
          <w:sz w:val="18"/>
          <w:szCs w:val="18"/>
        </w:rPr>
        <w:t>к заявке на закупку товаров, работ</w:t>
      </w:r>
    </w:p>
    <w:p w:rsidR="00062C72" w:rsidRDefault="00062C72" w:rsidP="00062C72">
      <w:pPr>
        <w:autoSpaceDN w:val="0"/>
        <w:ind w:firstLine="1134"/>
        <w:jc w:val="right"/>
        <w:rPr>
          <w:sz w:val="18"/>
          <w:szCs w:val="18"/>
        </w:rPr>
      </w:pPr>
      <w:r>
        <w:rPr>
          <w:sz w:val="18"/>
          <w:szCs w:val="18"/>
        </w:rPr>
        <w:t>и услуг от «__</w:t>
      </w:r>
      <w:proofErr w:type="gramStart"/>
      <w:r>
        <w:rPr>
          <w:sz w:val="18"/>
          <w:szCs w:val="18"/>
        </w:rPr>
        <w:t>_»_</w:t>
      </w:r>
      <w:proofErr w:type="gramEnd"/>
      <w:r>
        <w:rPr>
          <w:sz w:val="18"/>
          <w:szCs w:val="18"/>
        </w:rPr>
        <w:t>____________2025</w:t>
      </w:r>
    </w:p>
    <w:p w:rsidR="00062C72" w:rsidRDefault="00062C72" w:rsidP="00062C72">
      <w:pPr>
        <w:ind w:left="1145"/>
        <w:jc w:val="center"/>
        <w:rPr>
          <w:b/>
        </w:rPr>
      </w:pPr>
    </w:p>
    <w:p w:rsidR="00062C72" w:rsidRDefault="00062C72" w:rsidP="00062C72">
      <w:pPr>
        <w:ind w:left="1145"/>
        <w:jc w:val="center"/>
        <w:rPr>
          <w:b/>
        </w:rPr>
      </w:pPr>
      <w:r w:rsidRPr="00E929CD">
        <w:rPr>
          <w:b/>
        </w:rPr>
        <w:t>Расчет начальн</w:t>
      </w:r>
      <w:r>
        <w:rPr>
          <w:b/>
        </w:rPr>
        <w:t>ой (максимальной) цены контракта</w:t>
      </w:r>
    </w:p>
    <w:p w:rsidR="00062C72" w:rsidRPr="00E929CD" w:rsidRDefault="00062C72" w:rsidP="00062C72">
      <w:pPr>
        <w:ind w:left="1145"/>
        <w:rPr>
          <w:rFonts w:ascii="Calibri" w:hAnsi="Calibri" w:cs="Calibri"/>
          <w:b/>
        </w:rPr>
      </w:pPr>
    </w:p>
    <w:tbl>
      <w:tblPr>
        <w:tblW w:w="160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10915"/>
      </w:tblGrid>
      <w:tr w:rsidR="00062C72" w:rsidRPr="00B367B8" w:rsidTr="0043660F">
        <w:trPr>
          <w:trHeight w:val="461"/>
        </w:trPr>
        <w:tc>
          <w:tcPr>
            <w:tcW w:w="5103" w:type="dxa"/>
            <w:gridSpan w:val="2"/>
          </w:tcPr>
          <w:p w:rsidR="00062C72" w:rsidRPr="00B367B8" w:rsidRDefault="00062C72" w:rsidP="0043660F">
            <w:pPr>
              <w:suppressAutoHyphens w:val="0"/>
              <w:autoSpaceDN w:val="0"/>
              <w:ind w:left="57" w:right="57" w:firstLine="52"/>
              <w:rPr>
                <w:b/>
                <w:bCs/>
                <w:lang w:eastAsia="ru-RU"/>
              </w:rPr>
            </w:pPr>
            <w:r w:rsidRPr="00B367B8">
              <w:rPr>
                <w:b/>
                <w:bCs/>
                <w:lang w:eastAsia="ru-RU"/>
              </w:rPr>
              <w:t>Основные характеристики объекта закупки</w:t>
            </w:r>
          </w:p>
        </w:tc>
        <w:tc>
          <w:tcPr>
            <w:tcW w:w="10915" w:type="dxa"/>
          </w:tcPr>
          <w:p w:rsidR="00062C72" w:rsidRPr="00B367B8" w:rsidRDefault="00062C72" w:rsidP="0043660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Приобретение жилого помещения</w:t>
            </w:r>
          </w:p>
        </w:tc>
      </w:tr>
      <w:tr w:rsidR="00062C72" w:rsidRPr="00B367B8" w:rsidTr="0043660F">
        <w:tc>
          <w:tcPr>
            <w:tcW w:w="2410" w:type="dxa"/>
          </w:tcPr>
          <w:p w:rsidR="00062C72" w:rsidRPr="00B367B8" w:rsidRDefault="00062C72" w:rsidP="0043660F">
            <w:pPr>
              <w:suppressAutoHyphens w:val="0"/>
              <w:autoSpaceDN w:val="0"/>
              <w:ind w:left="57" w:right="-33"/>
              <w:rPr>
                <w:b/>
                <w:bCs/>
                <w:lang w:eastAsia="ru-RU"/>
              </w:rPr>
            </w:pPr>
            <w:r w:rsidRPr="00B367B8">
              <w:rPr>
                <w:b/>
                <w:bCs/>
                <w:lang w:eastAsia="ru-RU"/>
              </w:rPr>
              <w:t>Испо</w:t>
            </w:r>
            <w:r>
              <w:rPr>
                <w:b/>
                <w:bCs/>
                <w:lang w:eastAsia="ru-RU"/>
              </w:rPr>
              <w:t xml:space="preserve">льзуемый метод определения НМЦК </w:t>
            </w:r>
            <w:r w:rsidRPr="00B367B8">
              <w:rPr>
                <w:b/>
                <w:bCs/>
                <w:lang w:eastAsia="ru-RU"/>
              </w:rPr>
              <w:t>с обоснованием:</w:t>
            </w:r>
          </w:p>
        </w:tc>
        <w:tc>
          <w:tcPr>
            <w:tcW w:w="13608" w:type="dxa"/>
            <w:gridSpan w:val="2"/>
          </w:tcPr>
          <w:p w:rsidR="00062C72" w:rsidRPr="00B367B8" w:rsidRDefault="00062C72" w:rsidP="0043660F">
            <w:pPr>
              <w:suppressAutoHyphens w:val="0"/>
              <w:autoSpaceDN w:val="0"/>
              <w:ind w:left="57"/>
              <w:rPr>
                <w:lang w:eastAsia="ru-RU"/>
              </w:rPr>
            </w:pPr>
            <w:r w:rsidRPr="00B367B8">
              <w:rPr>
                <w:lang w:eastAsia="ru-RU"/>
              </w:rPr>
              <w:t>Метод сопоставимых рыночных цен (анализ рынка) в соответствии с Приказом Минэкономразвития России от 02.10.2013г. № 567</w:t>
            </w:r>
            <w:r>
              <w:rPr>
                <w:lang w:eastAsia="ru-RU"/>
              </w:rPr>
              <w:t xml:space="preserve"> </w:t>
            </w:r>
            <w:r w:rsidRPr="00B367B8">
              <w:rPr>
                <w:lang w:eastAsia="ru-RU"/>
              </w:rPr>
              <w:t>«Об утверждении методических рекомендаций по применению методов определения начальной (максимальной) цены контракта»</w:t>
            </w:r>
          </w:p>
        </w:tc>
      </w:tr>
      <w:tr w:rsidR="00062C72" w:rsidRPr="00B367B8" w:rsidTr="0043660F">
        <w:trPr>
          <w:trHeight w:val="1404"/>
        </w:trPr>
        <w:tc>
          <w:tcPr>
            <w:tcW w:w="2410" w:type="dxa"/>
          </w:tcPr>
          <w:p w:rsidR="00062C72" w:rsidRDefault="00062C72" w:rsidP="0043660F">
            <w:pPr>
              <w:suppressAutoHyphens w:val="0"/>
              <w:autoSpaceDN w:val="0"/>
              <w:ind w:left="57" w:right="57"/>
              <w:rPr>
                <w:b/>
                <w:bCs/>
                <w:lang w:eastAsia="ru-RU"/>
              </w:rPr>
            </w:pPr>
            <w:r w:rsidRPr="00B367B8">
              <w:rPr>
                <w:b/>
                <w:bCs/>
                <w:lang w:eastAsia="ru-RU"/>
              </w:rPr>
              <w:t>Расчет НМЦК</w:t>
            </w:r>
          </w:p>
          <w:p w:rsidR="00062C72" w:rsidRPr="00B367B8" w:rsidRDefault="00062C72" w:rsidP="0043660F">
            <w:pPr>
              <w:suppressAutoHyphens w:val="0"/>
              <w:autoSpaceDN w:val="0"/>
              <w:ind w:left="57" w:right="57"/>
              <w:rPr>
                <w:b/>
                <w:bCs/>
                <w:lang w:eastAsia="ru-RU"/>
              </w:rPr>
            </w:pPr>
          </w:p>
        </w:tc>
        <w:tc>
          <w:tcPr>
            <w:tcW w:w="13608" w:type="dxa"/>
            <w:gridSpan w:val="2"/>
          </w:tcPr>
          <w:p w:rsidR="00062C72" w:rsidRDefault="00062C72" w:rsidP="0043660F">
            <w:pPr>
              <w:suppressAutoHyphens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B367B8">
              <w:rPr>
                <w:lang w:eastAsia="en-US"/>
              </w:rPr>
              <w:t>Расчет начальной (максимальной) цены контракта основан на коммерческих предложениях поставщиков, полученных по запросу заказчика.</w:t>
            </w:r>
          </w:p>
          <w:tbl>
            <w:tblPr>
              <w:tblW w:w="140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0"/>
              <w:gridCol w:w="1418"/>
              <w:gridCol w:w="1275"/>
              <w:gridCol w:w="1276"/>
              <w:gridCol w:w="1276"/>
              <w:gridCol w:w="1276"/>
              <w:gridCol w:w="1276"/>
              <w:gridCol w:w="850"/>
              <w:gridCol w:w="3545"/>
            </w:tblGrid>
            <w:tr w:rsidR="00062C72" w:rsidRPr="00CE5B8D" w:rsidTr="0043660F">
              <w:trPr>
                <w:trHeight w:val="769"/>
              </w:trPr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</w:p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  <w:r w:rsidRPr="00D5042D">
                    <w:rPr>
                      <w:lang w:eastAsia="en-US"/>
                    </w:rPr>
                    <w:t>Наименование</w:t>
                  </w:r>
                </w:p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B367B8" w:rsidRDefault="00062C72" w:rsidP="0043660F">
                  <w:pPr>
                    <w:suppressAutoHyphens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67B8">
                    <w:rPr>
                      <w:lang w:eastAsia="en-US"/>
                    </w:rPr>
                    <w:t>№ 1</w:t>
                  </w:r>
                </w:p>
                <w:p w:rsidR="00062C72" w:rsidRPr="00B367B8" w:rsidRDefault="00062C72" w:rsidP="0043660F">
                  <w:pPr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</w:t>
                  </w:r>
                  <w:proofErr w:type="spellStart"/>
                  <w:r>
                    <w:rPr>
                      <w:lang w:eastAsia="en-US"/>
                    </w:rPr>
                    <w:t>руб</w:t>
                  </w:r>
                  <w:proofErr w:type="spellEnd"/>
                  <w:r>
                    <w:rPr>
                      <w:lang w:eastAsia="en-US"/>
                    </w:rPr>
                    <w:t xml:space="preserve">/ 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B367B8" w:rsidRDefault="00062C72" w:rsidP="0043660F">
                  <w:pPr>
                    <w:suppressAutoHyphens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№ 2</w:t>
                  </w:r>
                </w:p>
                <w:p w:rsidR="00062C72" w:rsidRPr="00B367B8" w:rsidRDefault="00062C72" w:rsidP="0043660F">
                  <w:pPr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</w:t>
                  </w:r>
                  <w:proofErr w:type="spellStart"/>
                  <w:r>
                    <w:rPr>
                      <w:lang w:eastAsia="en-US"/>
                    </w:rPr>
                    <w:t>руб</w:t>
                  </w:r>
                  <w:proofErr w:type="spellEnd"/>
                  <w:r>
                    <w:rPr>
                      <w:lang w:eastAsia="en-US"/>
                    </w:rPr>
                    <w:t xml:space="preserve">/ 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B367B8" w:rsidRDefault="00062C72" w:rsidP="0043660F">
                  <w:pPr>
                    <w:suppressAutoHyphens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67B8">
                    <w:rPr>
                      <w:lang w:eastAsia="en-US"/>
                    </w:rPr>
                    <w:t xml:space="preserve">№ </w:t>
                  </w:r>
                  <w:r>
                    <w:rPr>
                      <w:lang w:eastAsia="en-US"/>
                    </w:rPr>
                    <w:t>3</w:t>
                  </w:r>
                </w:p>
                <w:p w:rsidR="00062C72" w:rsidRPr="00B367B8" w:rsidRDefault="00062C72" w:rsidP="0043660F">
                  <w:pPr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</w:t>
                  </w:r>
                  <w:proofErr w:type="spellStart"/>
                  <w:r>
                    <w:rPr>
                      <w:lang w:eastAsia="en-US"/>
                    </w:rPr>
                    <w:t>руб</w:t>
                  </w:r>
                  <w:proofErr w:type="spellEnd"/>
                  <w:r>
                    <w:rPr>
                      <w:lang w:eastAsia="en-US"/>
                    </w:rPr>
                    <w:t xml:space="preserve">/ 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B367B8" w:rsidRDefault="00062C72" w:rsidP="0043660F">
                  <w:pPr>
                    <w:suppressAutoHyphens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67B8">
                    <w:rPr>
                      <w:lang w:eastAsia="en-US"/>
                    </w:rPr>
                    <w:t xml:space="preserve">№ </w:t>
                  </w:r>
                  <w:r>
                    <w:rPr>
                      <w:lang w:eastAsia="en-US"/>
                    </w:rPr>
                    <w:t>4</w:t>
                  </w:r>
                </w:p>
                <w:p w:rsidR="00062C72" w:rsidRPr="00B367B8" w:rsidRDefault="00062C72" w:rsidP="0043660F">
                  <w:pPr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</w:t>
                  </w:r>
                  <w:proofErr w:type="spellStart"/>
                  <w:r>
                    <w:rPr>
                      <w:lang w:eastAsia="en-US"/>
                    </w:rPr>
                    <w:t>руб</w:t>
                  </w:r>
                  <w:proofErr w:type="spellEnd"/>
                  <w:r>
                    <w:rPr>
                      <w:lang w:eastAsia="en-US"/>
                    </w:rPr>
                    <w:t xml:space="preserve">/ 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B367B8" w:rsidRDefault="00062C72" w:rsidP="0043660F">
                  <w:pPr>
                    <w:suppressAutoHyphens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67B8">
                    <w:rPr>
                      <w:lang w:eastAsia="en-US"/>
                    </w:rPr>
                    <w:t xml:space="preserve">№ </w:t>
                  </w:r>
                  <w:r>
                    <w:rPr>
                      <w:lang w:eastAsia="en-US"/>
                    </w:rPr>
                    <w:t>5</w:t>
                  </w:r>
                </w:p>
                <w:p w:rsidR="00062C72" w:rsidRPr="00B367B8" w:rsidRDefault="00062C72" w:rsidP="0043660F">
                  <w:pPr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</w:t>
                  </w:r>
                  <w:proofErr w:type="spellStart"/>
                  <w:r>
                    <w:rPr>
                      <w:lang w:eastAsia="en-US"/>
                    </w:rPr>
                    <w:t>руб</w:t>
                  </w:r>
                  <w:proofErr w:type="spellEnd"/>
                  <w:r>
                    <w:rPr>
                      <w:lang w:eastAsia="en-US"/>
                    </w:rPr>
                    <w:t xml:space="preserve">/ 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jc w:val="center"/>
                    <w:rPr>
                      <w:lang w:eastAsia="en-US"/>
                    </w:rPr>
                  </w:pPr>
                  <w:r w:rsidRPr="00D5042D">
                    <w:rPr>
                      <w:lang w:eastAsia="en-US"/>
                    </w:rPr>
                    <w:t>Средняя цена, руб.</w:t>
                  </w:r>
                  <w:r>
                    <w:rPr>
                      <w:lang w:eastAsia="en-US"/>
                    </w:rPr>
                    <w:t>/</w:t>
                  </w:r>
                  <w:proofErr w:type="spellStart"/>
                  <w:r>
                    <w:rPr>
                      <w:lang w:eastAsia="en-US"/>
                    </w:rPr>
                    <w:t>кв.м</w:t>
                  </w:r>
                  <w:proofErr w:type="spellEnd"/>
                  <w:r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jc w:val="center"/>
                    <w:rPr>
                      <w:lang w:eastAsia="en-US"/>
                    </w:rPr>
                  </w:pPr>
                  <w:r w:rsidRPr="00B367B8">
                    <w:rPr>
                      <w:lang w:eastAsia="en-US"/>
                    </w:rPr>
                    <w:t>Количество</w:t>
                  </w:r>
                  <w:r w:rsidRPr="00D5042D">
                    <w:rPr>
                      <w:lang w:eastAsia="en-US"/>
                    </w:rPr>
                    <w:t xml:space="preserve"> </w:t>
                  </w:r>
                  <w:r>
                    <w:rPr>
                      <w:lang w:eastAsia="en-US"/>
                    </w:rPr>
                    <w:t>кв. метров</w:t>
                  </w:r>
                </w:p>
              </w:tc>
              <w:tc>
                <w:tcPr>
                  <w:tcW w:w="3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Default="00062C72" w:rsidP="0043660F">
                  <w:pPr>
                    <w:rPr>
                      <w:lang w:eastAsia="en-US"/>
                    </w:rPr>
                  </w:pPr>
                  <w:r w:rsidRPr="00D5042D">
                    <w:rPr>
                      <w:lang w:eastAsia="en-US"/>
                    </w:rPr>
                    <w:t xml:space="preserve">Средняя </w:t>
                  </w:r>
                </w:p>
                <w:p w:rsidR="00062C72" w:rsidRPr="00D5042D" w:rsidRDefault="00062C72" w:rsidP="0043660F">
                  <w:pPr>
                    <w:rPr>
                      <w:lang w:eastAsia="en-US"/>
                    </w:rPr>
                  </w:pPr>
                  <w:r w:rsidRPr="00D5042D">
                    <w:rPr>
                      <w:lang w:eastAsia="en-US"/>
                    </w:rPr>
                    <w:t>стоимость, руб.</w:t>
                  </w:r>
                </w:p>
              </w:tc>
            </w:tr>
            <w:tr w:rsidR="00062C72" w:rsidRPr="000F282B" w:rsidTr="0043660F">
              <w:trPr>
                <w:trHeight w:val="249"/>
              </w:trPr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E574FA" w:rsidRDefault="00062C72" w:rsidP="0043660F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>
                    <w:t>Приобретение жилого помещения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90090,09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84848,48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84033,61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83636,36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suppressAutoHyphens w:val="0"/>
                    <w:autoSpaceDN w:val="0"/>
                    <w:ind w:left="57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91428,57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86807,42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33</w:t>
                  </w:r>
                </w:p>
              </w:tc>
              <w:tc>
                <w:tcPr>
                  <w:tcW w:w="3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2C72" w:rsidRPr="00D5042D" w:rsidRDefault="00062C72" w:rsidP="0043660F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2864644,86</w:t>
                  </w:r>
                </w:p>
              </w:tc>
            </w:tr>
          </w:tbl>
          <w:p w:rsidR="00062C72" w:rsidRPr="00B367B8" w:rsidRDefault="00062C72" w:rsidP="0043660F">
            <w:pPr>
              <w:suppressAutoHyphens w:val="0"/>
              <w:autoSpaceDN w:val="0"/>
              <w:adjustRightInd w:val="0"/>
              <w:rPr>
                <w:lang w:eastAsia="en-US"/>
              </w:rPr>
            </w:pPr>
            <w:r w:rsidRPr="00B367B8">
              <w:rPr>
                <w:lang w:eastAsia="en-US"/>
              </w:rPr>
              <w:t xml:space="preserve">                         НМЦК методом сопоставимых рыночных цен (анализа рынка) определяется по формуле:</w:t>
            </w:r>
          </w:p>
          <w:p w:rsidR="00062C72" w:rsidRPr="00B367B8" w:rsidRDefault="00062C72" w:rsidP="0043660F">
            <w:pPr>
              <w:suppressAutoHyphens w:val="0"/>
              <w:autoSpaceDN w:val="0"/>
              <w:adjustRightInd w:val="0"/>
              <w:jc w:val="center"/>
              <w:rPr>
                <w:lang w:eastAsia="en-US"/>
              </w:rPr>
            </w:pPr>
            <w:r w:rsidRPr="008D23AA">
              <w:rPr>
                <w:noProof/>
                <w:lang w:eastAsia="ru-RU"/>
              </w:rPr>
              <w:drawing>
                <wp:inline distT="0" distB="0" distL="0" distR="0" wp14:anchorId="70645BFB" wp14:editId="5529959B">
                  <wp:extent cx="1623060" cy="3962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67B8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B367B8">
              <w:rPr>
                <w:lang w:eastAsia="en-US"/>
              </w:rPr>
              <w:t>где:</w:t>
            </w:r>
          </w:p>
          <w:p w:rsidR="00062C72" w:rsidRPr="00B367B8" w:rsidRDefault="00062C72" w:rsidP="0043660F">
            <w:pPr>
              <w:suppressAutoHyphens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8D23AA">
              <w:rPr>
                <w:noProof/>
                <w:lang w:eastAsia="ru-RU"/>
              </w:rPr>
              <w:drawing>
                <wp:inline distT="0" distB="0" distL="0" distR="0" wp14:anchorId="375D4B07" wp14:editId="11141EB7">
                  <wp:extent cx="662940" cy="220980"/>
                  <wp:effectExtent l="0" t="0" r="381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67B8">
              <w:rPr>
                <w:lang w:eastAsia="en-US"/>
              </w:rPr>
              <w:t xml:space="preserve"> - НМЦК, определяемая методом сопоставимых рыночных цен (анализа рынка);</w:t>
            </w:r>
          </w:p>
          <w:p w:rsidR="00062C72" w:rsidRPr="00B367B8" w:rsidRDefault="00062C72" w:rsidP="0043660F">
            <w:pPr>
              <w:suppressAutoHyphens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B367B8">
              <w:rPr>
                <w:lang w:eastAsia="en-US"/>
              </w:rPr>
              <w:t xml:space="preserve">v </w:t>
            </w:r>
            <w:r>
              <w:rPr>
                <w:lang w:eastAsia="en-US"/>
              </w:rPr>
              <w:t>–</w:t>
            </w:r>
            <w:r w:rsidRPr="00B367B8">
              <w:rPr>
                <w:lang w:eastAsia="en-US"/>
              </w:rPr>
              <w:t xml:space="preserve"> количество (объем) закупаемого товара (работы, услуги);</w:t>
            </w:r>
          </w:p>
          <w:p w:rsidR="00062C72" w:rsidRPr="00B367B8" w:rsidRDefault="00062C72" w:rsidP="0043660F">
            <w:pPr>
              <w:suppressAutoHyphens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B367B8">
              <w:rPr>
                <w:lang w:eastAsia="en-US"/>
              </w:rPr>
              <w:t xml:space="preserve">n </w:t>
            </w:r>
            <w:r>
              <w:rPr>
                <w:lang w:eastAsia="en-US"/>
              </w:rPr>
              <w:t>–</w:t>
            </w:r>
            <w:r w:rsidRPr="00B367B8">
              <w:rPr>
                <w:lang w:eastAsia="en-US"/>
              </w:rPr>
              <w:t xml:space="preserve"> количество значений, используемых в расчете;</w:t>
            </w:r>
          </w:p>
          <w:p w:rsidR="00062C72" w:rsidRPr="00B367B8" w:rsidRDefault="00062C72" w:rsidP="0043660F">
            <w:pPr>
              <w:suppressAutoHyphens w:val="0"/>
              <w:autoSpaceDN w:val="0"/>
              <w:adjustRightInd w:val="0"/>
              <w:ind w:firstLine="540"/>
              <w:rPr>
                <w:lang w:eastAsia="en-US"/>
              </w:rPr>
            </w:pPr>
            <w:r w:rsidRPr="00B367B8">
              <w:rPr>
                <w:lang w:eastAsia="en-US"/>
              </w:rPr>
              <w:t xml:space="preserve">i </w:t>
            </w:r>
            <w:r>
              <w:rPr>
                <w:lang w:eastAsia="en-US"/>
              </w:rPr>
              <w:t>–</w:t>
            </w:r>
            <w:r w:rsidRPr="00B367B8">
              <w:rPr>
                <w:lang w:eastAsia="en-US"/>
              </w:rPr>
              <w:t xml:space="preserve"> номер источника ценовой информации;</w:t>
            </w:r>
          </w:p>
          <w:p w:rsidR="00062C72" w:rsidRPr="00B367B8" w:rsidRDefault="00062C72" w:rsidP="0043660F">
            <w:pPr>
              <w:suppressAutoHyphens w:val="0"/>
              <w:autoSpaceDN w:val="0"/>
              <w:ind w:left="539"/>
              <w:rPr>
                <w:lang w:eastAsia="ru-RU"/>
              </w:rPr>
            </w:pPr>
            <w:r w:rsidRPr="008D23AA">
              <w:rPr>
                <w:noProof/>
                <w:lang w:eastAsia="ru-RU"/>
              </w:rPr>
              <w:drawing>
                <wp:inline distT="0" distB="0" distL="0" distR="0" wp14:anchorId="4BEB1DC8" wp14:editId="15E2708E">
                  <wp:extent cx="152400" cy="2209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67B8">
              <w:rPr>
                <w:lang w:eastAsia="en-US"/>
              </w:rPr>
              <w:t xml:space="preserve"> 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</w:t>
            </w:r>
            <w:r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14300" cy="2209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67B8">
              <w:rPr>
                <w:lang w:eastAsia="en-US"/>
              </w:rPr>
              <w:t>или) финансовых условий поставок товаров, выполнения работ, оказания услуг</w:t>
            </w:r>
          </w:p>
        </w:tc>
      </w:tr>
      <w:tr w:rsidR="00062C72" w:rsidRPr="00B367B8" w:rsidTr="0043660F">
        <w:trPr>
          <w:trHeight w:val="634"/>
        </w:trPr>
        <w:tc>
          <w:tcPr>
            <w:tcW w:w="5103" w:type="dxa"/>
            <w:gridSpan w:val="2"/>
          </w:tcPr>
          <w:p w:rsidR="00062C72" w:rsidRPr="00B367B8" w:rsidRDefault="00062C72" w:rsidP="0043660F">
            <w:pPr>
              <w:suppressAutoHyphens w:val="0"/>
              <w:autoSpaceDN w:val="0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</w:t>
            </w:r>
            <w:r w:rsidRPr="00B367B8">
              <w:rPr>
                <w:b/>
                <w:bCs/>
                <w:lang w:eastAsia="ru-RU"/>
              </w:rPr>
              <w:t xml:space="preserve">Решение о </w:t>
            </w:r>
            <w:r w:rsidRPr="001977E7">
              <w:rPr>
                <w:b/>
                <w:bCs/>
                <w:lang w:eastAsia="ru-RU"/>
              </w:rPr>
              <w:t>начальной (максимальной) цен</w:t>
            </w:r>
            <w:r>
              <w:rPr>
                <w:b/>
                <w:bCs/>
                <w:lang w:eastAsia="ru-RU"/>
              </w:rPr>
              <w:t>е</w:t>
            </w:r>
            <w:r w:rsidRPr="001977E7">
              <w:rPr>
                <w:b/>
                <w:bCs/>
                <w:lang w:eastAsia="ru-RU"/>
              </w:rPr>
              <w:t xml:space="preserve"> контракта</w:t>
            </w:r>
          </w:p>
        </w:tc>
        <w:tc>
          <w:tcPr>
            <w:tcW w:w="10915" w:type="dxa"/>
          </w:tcPr>
          <w:p w:rsidR="00062C72" w:rsidRPr="00B367B8" w:rsidRDefault="00062C72" w:rsidP="0043660F">
            <w:pPr>
              <w:autoSpaceDN w:val="0"/>
              <w:spacing w:after="200" w:line="276" w:lineRule="auto"/>
              <w:rPr>
                <w:bCs/>
                <w:lang w:eastAsia="ru-RU"/>
              </w:rPr>
            </w:pPr>
            <w:r w:rsidRPr="00B367B8">
              <w:rPr>
                <w:lang w:eastAsia="en-US"/>
              </w:rPr>
              <w:t xml:space="preserve">Начальная максимальная цена контракта определена на основании произведенных расчетов и составляет </w:t>
            </w:r>
            <w:r>
              <w:rPr>
                <w:lang w:eastAsia="en-US"/>
              </w:rPr>
              <w:t>2 864 644</w:t>
            </w:r>
            <w:r w:rsidRPr="00E86B99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Два миллиона восемьсот шестьдесят четыре тысячи шестьсот сорок четыре) </w:t>
            </w:r>
            <w:r w:rsidRPr="00E86B99">
              <w:rPr>
                <w:color w:val="000000"/>
              </w:rPr>
              <w:t>рубл</w:t>
            </w:r>
            <w:r>
              <w:rPr>
                <w:color w:val="000000"/>
              </w:rPr>
              <w:t>я 86</w:t>
            </w:r>
            <w:r w:rsidRPr="00E86B99">
              <w:rPr>
                <w:color w:val="000000"/>
              </w:rPr>
              <w:t xml:space="preserve"> копе</w:t>
            </w:r>
            <w:r>
              <w:rPr>
                <w:color w:val="000000"/>
              </w:rPr>
              <w:t>ек</w:t>
            </w:r>
          </w:p>
        </w:tc>
      </w:tr>
    </w:tbl>
    <w:p w:rsidR="00062C72" w:rsidRPr="00AE19B4" w:rsidRDefault="00062C72" w:rsidP="00062C72">
      <w:pPr>
        <w:jc w:val="center"/>
      </w:pPr>
    </w:p>
    <w:p w:rsidR="00062C72" w:rsidRPr="00BF0AEE" w:rsidRDefault="00062C72" w:rsidP="00062C72">
      <w:pPr>
        <w:rPr>
          <w:b/>
        </w:rPr>
      </w:pPr>
      <w:r>
        <w:rPr>
          <w:b/>
        </w:rPr>
        <w:t xml:space="preserve">Подготовил: </w:t>
      </w:r>
      <w:r>
        <w:rPr>
          <w:b/>
        </w:rPr>
        <w:t>Начальник службы реализации жилищных программ Гусейнов</w:t>
      </w:r>
      <w:r>
        <w:rPr>
          <w:b/>
        </w:rPr>
        <w:t xml:space="preserve"> Р.Р.</w:t>
      </w:r>
    </w:p>
    <w:p w:rsidR="004614EB" w:rsidRDefault="004614EB">
      <w:bookmarkStart w:id="0" w:name="_GoBack"/>
      <w:bookmarkEnd w:id="0"/>
    </w:p>
    <w:sectPr w:rsidR="004614EB" w:rsidSect="00773B35">
      <w:pgSz w:w="16838" w:h="11906" w:orient="landscape"/>
      <w:pgMar w:top="851" w:right="567" w:bottom="425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F0"/>
    <w:rsid w:val="00062C72"/>
    <w:rsid w:val="004614EB"/>
    <w:rsid w:val="00D9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A478"/>
  <w15:chartTrackingRefBased/>
  <w15:docId w15:val="{A89A6DF2-8C7F-41E8-AB04-B2CAA8C2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C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Павлова</dc:creator>
  <cp:keywords/>
  <dc:description/>
  <cp:lastModifiedBy>Татьяна Павлова</cp:lastModifiedBy>
  <cp:revision>2</cp:revision>
  <dcterms:created xsi:type="dcterms:W3CDTF">2025-01-30T18:01:00Z</dcterms:created>
  <dcterms:modified xsi:type="dcterms:W3CDTF">2025-01-30T18:02:00Z</dcterms:modified>
</cp:coreProperties>
</file>