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628"/>
        <w:gridCol w:w="115"/>
        <w:gridCol w:w="114"/>
        <w:gridCol w:w="215"/>
        <w:gridCol w:w="5087"/>
      </w:tblGrid>
      <w:tr>
        <w:trPr>
          <w:trHeight w:val="344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УТВЕРЖДАЮ: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УТВЕРЖДАЮ:</w:t>
            </w:r>
          </w:p>
        </w:tc>
      </w:tr>
      <w:tr>
        <w:trPr>
          <w:trHeight w:val="1261"/>
        </w:trPr>
        <w:tc>
          <w:tcPr>
            <w:tcW w:w="4743" w:type="dxa"/>
            <w:gridSpan w:val="2"/>
            <w:vMerge w:val="restart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РЕСПУБЛИКАНСКОЕ АГЕНТСТВО ПО ГОСУДАРСТВЕННЫМ ЗАКУПКАМ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vMerge w:val="restart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ГОСУДАРСТВЕННОЕ БЮДЖЕТНОЕ УЧРЕЖДЕНИЕ ЗДРАВООХРАНЕНИЯ "ХОРИНСКАЯ ЦЕНТРАЛЬНАЯ РАЙОННАЯ БОЛЬНИЦА"</w:t>
            </w:r>
          </w:p>
        </w:tc>
      </w:tr>
      <w:tr>
        <w:trPr>
          <w:trHeight w:val="329"/>
        </w:trPr>
        <w:tc>
          <w:tcPr>
            <w:tcW w:w="4743" w:type="dxa"/>
            <w:gridSpan w:val="2"/>
            <w:vMerge/>
            <w:shd w:val="clear" w:color="auto" w:fill="auto"/>
          </w:tcPr>
          <w:p/>
        </w:tc>
        <w:tc>
          <w:tcPr>
            <w:tcW w:w="329" w:type="dxa"/>
            <w:gridSpan w:val="2"/>
          </w:tcPr>
          <w:p/>
        </w:tc>
        <w:tc>
          <w:tcPr>
            <w:tcW w:w="5087" w:type="dxa"/>
            <w:vMerge/>
            <w:shd w:val="clear" w:color="auto" w:fill="auto"/>
          </w:tcPr>
          <w:p/>
        </w:tc>
      </w:tr>
      <w:tr>
        <w:trPr>
          <w:trHeight w:val="960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Заместитель руководителя - начальник отдела осуществления закупок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Главный врач</w:t>
            </w:r>
          </w:p>
        </w:tc>
      </w:tr>
      <w:tr>
        <w:trPr>
          <w:trHeight w:val="344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Понушкова Мария Владимировна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 Цыренжапов Сергей Бимбаевич</w:t>
            </w:r>
          </w:p>
        </w:tc>
      </w:tr>
      <w:tr>
        <w:trPr>
          <w:trHeight w:val="330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«30» апреля 2025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«29» апреля 2025</w:t>
            </w:r>
          </w:p>
        </w:tc>
      </w:tr>
      <w:tr>
        <w:trPr>
          <w:trHeight w:val="2708"/>
        </w:trPr>
        <w:tc>
          <w:tcPr>
            <w:tcW w:w="10159" w:type="dxa"/>
            <w:gridSpan w:val="5"/>
          </w:tcPr>
          <w:p/>
        </w:tc>
      </w:tr>
      <w:tr>
        <w:trPr>
          <w:trHeight w:val="831"/>
        </w:trPr>
        <w:tc>
          <w:tcPr>
            <w:tcW w:w="10159" w:type="dxa"/>
            <w:gridSpan w:val="5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36"/>
                <w:spacing w:val="-2"/>
              </w:rPr>
              <w:spacing w:line="229"/>
              <w:jc w:val="center"/>
            </w:pPr>
            <w:r>
              <w:rPr>
                <w:b/>
                <w:sz w:val="36"/>
                <w:szCs w:val="36"/>
                <w:rFonts w:ascii="Times New Roman" w:hAnsi="Times New Roman" w:eastAsia="Times New Roman" w:cs="Times New Roman"/>
                <w:spacing w:val="-2"/>
              </w:rPr>
              <w:t xml:space="preserve">Извещение о проведении электронного аукциона </w:t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36"/>
                <w:spacing w:val="-2"/>
              </w:rPr>
              <w:spacing w:line="229"/>
              <w:jc w:val="center"/>
            </w:pPr>
            <w:r>
              <w:rPr>
                <w:b/>
                <w:sz w:val="36"/>
                <w:szCs w:val="36"/>
                <w:rFonts w:ascii="Times New Roman" w:hAnsi="Times New Roman" w:eastAsia="Times New Roman" w:cs="Times New Roman"/>
                <w:spacing w:val="-2"/>
              </w:rPr>
              <w:t xml:space="preserve">объект закупки: Поставка продуктов питания (Молоко)</w:t>
            </w:r>
          </w:p>
          <w:p/>
        </w:tc>
      </w:tr>
      <w:tr>
        <w:trPr>
          <w:trHeight w:val="329"/>
        </w:trPr>
        <w:tc>
          <w:tcPr>
            <w:tcW w:w="10159" w:type="dxa"/>
            <w:gridSpan w:val="5"/>
          </w:tcPr>
          <w:p/>
        </w:tc>
      </w:tr>
      <w:tr>
        <w:trPr>
          <w:trHeight w:val="760"/>
        </w:trPr>
        <w:tc>
          <w:tcPr>
            <w:tcW w:w="4857" w:type="dxa"/>
            <w:gridSpan w:val="3"/>
          </w:tcPr>
          <w:p/>
        </w:tc>
        <w:tc>
          <w:tcPr>
            <w:tcW w:w="5302" w:type="dxa"/>
            <w:gridSpan w:val="2"/>
            <w:tcBorders>
              <w:bottom w:val="single" w:sz="5" w:space="0" w:color="000000"/>
            </w:tcBorders>
          </w:tcPr>
          <w:p/>
        </w:tc>
      </w:tr>
      <w:tr>
        <w:trPr>
          <w:trHeight w:val="558"/>
        </w:trPr>
        <w:tc>
          <w:tcPr>
            <w:tcW w:w="4628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b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Разработано: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Консультант отдела осуществления закупок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Республиканского агентства по государственным закупкам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Буинова Ирина Николаевна</w:t>
            </w:r>
          </w:p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Подлинник электронного документа, подписанного ЭЦП, хранится в РИС в сфере закупок Республики Бурятия Республиканского агентства по государственным закупкам.</w:t>
            </w:r>
          </w:p>
        </w:tc>
      </w:tr>
      <w:tr>
        <w:trPr>
          <w:trHeight w:val="344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</w:tcPr>
          <w:p/>
        </w:tc>
        <w:tc>
          <w:tcPr>
            <w:tcW w:w="5302" w:type="dxa"/>
            <w:gridSpan w:val="2"/>
            <w:vAlign w:val="center"/>
            <w:tcBorders>
              <w:top w:val="single" w:sz="5" w:space="0" w:color="000000"/>
              <w:bottom w:val="single" w:sz="5" w:space="0" w:color="000000"/>
            </w:tcBorders>
            <w:shd w:val="clear" w:color="auto" w:fill="000000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FFFFFF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FFFFFF"/>
                <w:sz w:val="16"/>
                <w:spacing w:val="-2"/>
              </w:rPr>
              <w:t xml:space="preserve">СВЕДЕНИЯ О СЕРТИФИКАТЕ ЭЦП</w:t>
            </w:r>
          </w:p>
        </w:tc>
      </w:tr>
      <w:tr>
        <w:trPr>
          <w:trHeight w:val="215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Понушкова Мария Владимировна</w:t>
            </w:r>
          </w:p>
        </w:tc>
      </w:tr>
      <w:tr>
        <w:trPr>
          <w:trHeight w:val="229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30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F46759256CAAC3596C1CFC0BF3C82C949D94B2F2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7E10A1061C30E2D338E981DCE5A8BA3F</w:t>
            </w:r>
          </w:p>
        </w:tc>
      </w:tr>
      <w:tr>
        <w:trPr>
          <w:trHeight w:val="215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17.12.2024 по 12.03.2026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Цыренжапов Сергей Бимбаевич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30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BCDDEDB3A74FEDD31ADA3F607E52C637BC22A7B6</w:t>
            </w:r>
          </w:p>
        </w:tc>
      </w:tr>
      <w:tr>
        <w:trPr>
          <w:trHeight w:val="215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325535A67A2F26135E0ABFD654A271C4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30.09.2024 по 24.12.2025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Буинова Ирина Николаевна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15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7A098D8D1C3D0D35770965D51B65A34D498C7B3D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569F0960578C6E6EC6DB482BA58FF1BC</w:t>
            </w:r>
          </w:p>
        </w:tc>
      </w:tr>
      <w:tr>
        <w:trPr>
          <w:trHeight w:val="230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01.07.2024 по 24.09.2025</w:t>
            </w:r>
          </w:p>
        </w:tc>
      </w:tr>
      <w:tr>
        <w:trPr>
          <w:trHeight w:val="2135"/>
        </w:trPr>
        <w:tc>
          <w:tcPr>
            <w:tcW w:w="4857" w:type="dxa"/>
            <w:gridSpan w:val="3"/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</w:tcBorders>
          </w:tcPr>
          <w:p/>
        </w:tc>
      </w:tr>
      <w:tr>
        <w:trPr>
          <w:trHeight w:val="214"/>
        </w:trPr>
        <w:tc>
          <w:tcPr>
            <w:tcW w:w="10159" w:type="dxa"/>
            <w:gridSpan w:val="5"/>
            <w:shd w:val="clear" w:color="auto" w:fill="auto"/>
          </w:tcPr>
          <w:p>
            <w:pPr>
              <w:spacing w:line="229"/>
              <w:jc w:val="right"/>
              <w:rPr>
                <w:rFonts w:ascii="Times New Roman" w:hAnsi="Times New Roman" w:eastAsia="Times New Roman" w:cs="Times New Roman"/>
                <w:color w:val="7F7F7F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7F7F7F"/>
                <w:sz w:val="20"/>
                <w:spacing w:val="-2"/>
              </w:rPr>
              <w:t xml:space="preserve">Файл подписан электронной цифровой подписью. Страница 1  из 2</w:t>
            </w:r>
          </w:p>
        </w:tc>
      </w:tr>
      <w:tr>
        <w:trPr>
          <w:trHeight w:val="2866"/>
        </w:trPr>
        <w:tc>
          <w:tcPr>
            <w:tcW w:w="10159" w:type="dxa"/>
            <w:gridSpan w:val="5"/>
            <w:vMerge w:val="restart"/>
            <w:shd w:val="clear" w:color="auto" w:fill="FFFFFF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Примечание: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Федеральный закон от 05.04.2013 № 44-ФЗ "О контрактной системе в сфере закупок товаров, работ, услуг для обеспечения государственных и муниципальных нужд" (далее – Закон/Закон № 44-ФЗ). Все термины и понятия, используемые в настоящем извещении о проведении электронного аукциона (далее – извещение), трактуются в соответствии с Законом.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Открытый аукцион в электронной форме (далее - электронный аукцион)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Все Приложения к извещению о проведении электронного аукциона являются ее неотъемлемой частью.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Государственный контракт, муниципальный контракт -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заключен от имени Российской Федерации, субъекта Российской Федерации (государственный контракт), муниципального образования (муниципальный контракт) государственным или муниципальным заказчиком для обеспечения соответственно государственных нужд, муниципальных нужд.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Контракт - государственный или муниципальный контракт либо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заключен бюджетным учреждением, государственным или муниципальным унитарным предприятием либо иным юридическим лицом в соответствии с частями 1, 2.1, 4, 4.1, 4.3 и 5 статьи 15 Закона.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Извещение разработано и утверждено в соответствии с Постановлением Правительства Республики Бурятия от 22.08.2006 № 269 «Об утверждении Положения о Республиканском агентстве по государственным закупкам и порядка его взаимодействия с заказчиками Республики Бурятия». </w:t>
            </w:r>
          </w:p>
          <w:p/>
        </w:tc>
      </w:tr>
      <w:tr>
        <w:trPr>
          <w:trHeight w:val="1848"/>
        </w:trPr>
        <w:tc>
          <w:tcPr>
            <w:tcW w:w="10159" w:type="dxa"/>
            <w:gridSpan w:val="5"/>
            <w:vMerge/>
            <w:shd w:val="clear" w:color="auto" w:fill="FFFFFF"/>
          </w:tcPr>
          <w:p/>
        </w:tc>
      </w:tr>
      <w:tr>
        <w:trPr>
          <w:trHeight w:val="1834"/>
        </w:trPr>
        <w:tc>
          <w:tcPr>
            <w:tcW w:w="10159" w:type="dxa"/>
            <w:gridSpan w:val="5"/>
            <w:vMerge/>
            <w:shd w:val="clear" w:color="auto" w:fill="FFFFFF"/>
          </w:tcPr>
          <w:p/>
        </w:tc>
      </w:tr>
    </w:tbl>
    <w:sectPr>
      <w:pgSz w:w="11906" w:h="16838"/>
      <w:pgMar w:top="1134" w:right="567" w:bottom="517" w:left="1134" w:header="1134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Times New Roman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Report_Doc_Titl_Sign_Comp_(Sti)</dc:title>
  <dc:subject>Report_Doc_Titl_Sign_Comp_(Sti)</dc:subject>
  <dc:creator>gba</dc:creator>
  <cp:keywords/>
  <dc:description>Титульный лист документации</dc:description>
  <cp:lastModifiedBy>Stimulsoft Reports 2020.5.2 from 26 November 2020</cp:lastModifiedBy>
  <cp:revision>1</cp:revision>
  <dcterms:created xsi:type="dcterms:W3CDTF">2025-04-30T11:50:09Z</dcterms:created>
  <dcterms:modified xsi:type="dcterms:W3CDTF">2025-04-30T11:50:09Z</dcterms:modified>
</cp:coreProperties>
</file>