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6C34" w:rsidRDefault="00067BEF" w:rsidP="00067BEF">
      <w:pPr>
        <w:pStyle w:val="ConsNormal"/>
        <w:widowControl/>
        <w:tabs>
          <w:tab w:val="center" w:pos="4677"/>
          <w:tab w:val="left" w:pos="7513"/>
        </w:tabs>
        <w:ind w:firstLine="0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Приложение №1</w:t>
      </w:r>
    </w:p>
    <w:p w:rsidR="00396C34" w:rsidRDefault="00067BEF">
      <w:pPr>
        <w:jc w:val="center"/>
        <w:rPr>
          <w:b/>
          <w:color w:val="auto"/>
          <w:sz w:val="16"/>
          <w:szCs w:val="16"/>
        </w:rPr>
      </w:pPr>
    </w:p>
    <w:p w:rsidR="00396C34" w:rsidRDefault="00067BEF">
      <w:pPr>
        <w:jc w:val="center"/>
        <w:rPr>
          <w:b/>
          <w:color w:val="auto"/>
          <w:sz w:val="16"/>
          <w:szCs w:val="16"/>
        </w:rPr>
      </w:pPr>
    </w:p>
    <w:p w:rsidR="00396C34" w:rsidRDefault="00067BEF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396C34" w:rsidRDefault="00067BEF">
      <w:pPr>
        <w:spacing w:line="360" w:lineRule="auto"/>
        <w:rPr>
          <w:color w:val="000000"/>
          <w:sz w:val="16"/>
          <w:szCs w:val="16"/>
          <w:lang w:val="en-US"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836"/>
        <w:gridCol w:w="1608"/>
        <w:gridCol w:w="923"/>
        <w:gridCol w:w="1425"/>
      </w:tblGrid>
      <w:tr w:rsidR="00013259">
        <w:trPr>
          <w:trHeight w:val="462"/>
        </w:trPr>
        <w:tc>
          <w:tcPr>
            <w:tcW w:w="648" w:type="dxa"/>
            <w:vMerge w:val="restart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836" w:type="dxa"/>
            <w:vMerge w:val="restart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товарном знаке и знаках обслуживания</w:t>
            </w:r>
          </w:p>
        </w:tc>
        <w:tc>
          <w:tcPr>
            <w:tcW w:w="1608" w:type="dxa"/>
            <w:vMerge w:val="restart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1425" w:type="dxa"/>
            <w:vMerge w:val="restart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013259">
        <w:trPr>
          <w:trHeight w:val="613"/>
        </w:trPr>
        <w:tc>
          <w:tcPr>
            <w:tcW w:w="648" w:type="dxa"/>
            <w:vMerge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Наименование характеристики</w:t>
            </w:r>
          </w:p>
        </w:tc>
        <w:tc>
          <w:tcPr>
            <w:tcW w:w="1400" w:type="dxa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</w:p>
        </w:tc>
        <w:tc>
          <w:tcPr>
            <w:tcW w:w="1301" w:type="dxa"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396C34" w:rsidRPr="00067BEF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Pr="00067BEF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067BEF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Инструкция по заполнению характеристик в заявке</w:t>
            </w:r>
          </w:p>
        </w:tc>
        <w:tc>
          <w:tcPr>
            <w:tcW w:w="1836" w:type="dxa"/>
            <w:vMerge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  <w:vMerge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425" w:type="dxa"/>
            <w:vMerge/>
          </w:tcPr>
          <w:p w:rsidR="00396C34" w:rsidRDefault="00067BEF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013259">
        <w:trPr>
          <w:trHeight w:val="3435"/>
        </w:trPr>
        <w:tc>
          <w:tcPr>
            <w:tcW w:w="648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Pr="00067BEF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Краска на основе акриловых или виниловых полимеров в водной среде</w:t>
            </w:r>
          </w:p>
        </w:tc>
        <w:tc>
          <w:tcPr>
            <w:tcW w:w="1301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067BEF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20.30.11.120-00000002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Область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применения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Внутренняя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окраска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</w:r>
                  <w:r w:rsidRPr="00067BEF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Тип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краски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Водоэмульсионная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Основа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состава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Акриловая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067BEF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Цвет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: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067BEF">
                          <w:rPr>
                            <w:sz w:val="16"/>
                            <w:szCs w:val="16"/>
                          </w:rPr>
                          <w:br/>
                          <w:t>Белый матовый (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не менее 5 </w:t>
                        </w:r>
                        <w:r w:rsidRPr="00067BEF">
                          <w:rPr>
                            <w:sz w:val="16"/>
                            <w:szCs w:val="16"/>
                          </w:rPr>
                          <w:t>оттенков по согласованию с заказчиком)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Без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запаха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067BEF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450.0000</w:t>
            </w:r>
          </w:p>
        </w:tc>
        <w:tc>
          <w:tcPr>
            <w:tcW w:w="923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</w:t>
            </w:r>
            <w:r>
              <w:rPr>
                <w:sz w:val="16"/>
                <w:szCs w:val="16"/>
                <w:lang w:bidi="ru-RU"/>
              </w:rPr>
              <w:t>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013259">
        <w:trPr>
          <w:trHeight w:val="3435"/>
        </w:trPr>
        <w:tc>
          <w:tcPr>
            <w:tcW w:w="648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</w:t>
            </w:r>
          </w:p>
        </w:tc>
        <w:tc>
          <w:tcPr>
            <w:tcW w:w="1692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Эмаль</w:t>
            </w:r>
          </w:p>
        </w:tc>
        <w:tc>
          <w:tcPr>
            <w:tcW w:w="1301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20.30.12.130-00000002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Область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применения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Для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внутренних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работ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Группа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Водостойкая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(4)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Тип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эмали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Алкидно-акриловая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(АС)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067BEF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Цвет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Белый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Без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запаха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Антикоррозийная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Глянцевая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Фасовка</w:t>
                  </w:r>
                  <w:proofErr w:type="spellEnd"/>
                </w:p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20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Килограмм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Участник закупки</w:t>
                  </w:r>
                  <w:r w:rsidRPr="00067BEF">
                    <w:rPr>
                      <w:sz w:val="16"/>
                      <w:szCs w:val="16"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Время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полного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высыхания</w:t>
                  </w:r>
                  <w:proofErr w:type="spellEnd"/>
                </w:p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 w:rsidP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bookmarkStart w:id="0" w:name="_GoBack"/>
                        <w:bookmarkEnd w:id="0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Час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250.0000</w:t>
            </w:r>
          </w:p>
        </w:tc>
        <w:tc>
          <w:tcPr>
            <w:tcW w:w="923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013259">
        <w:trPr>
          <w:trHeight w:val="3435"/>
        </w:trPr>
        <w:tc>
          <w:tcPr>
            <w:tcW w:w="648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</w:t>
            </w:r>
          </w:p>
        </w:tc>
        <w:tc>
          <w:tcPr>
            <w:tcW w:w="1692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Pr="00067BEF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proofErr w:type="spellStart"/>
            <w:r>
              <w:rPr>
                <w:sz w:val="16"/>
                <w:szCs w:val="16"/>
                <w:lang w:bidi="ru-RU"/>
              </w:rPr>
              <w:t>Гурнтовка</w:t>
            </w:r>
            <w:proofErr w:type="spellEnd"/>
            <w:r>
              <w:rPr>
                <w:sz w:val="16"/>
                <w:szCs w:val="16"/>
                <w:lang w:bidi="ru-RU"/>
              </w:rPr>
              <w:t xml:space="preserve"> на основе акриловых или виниловых полимеров в водой среде</w:t>
            </w:r>
          </w:p>
        </w:tc>
        <w:tc>
          <w:tcPr>
            <w:tcW w:w="1301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20.30.12.140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Назначение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Бетоноконтакт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067BEF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Применение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Бетон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Кварцевая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Концентрация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Готовый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Предназначен для предварительной обработки гладких, преимущественно бетонных стен перед цементно-песчаных и гипсовых штукатурок при внутренних работах.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067BEF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Соответствие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Фасовка</w:t>
                  </w:r>
                  <w:proofErr w:type="spellEnd"/>
                </w:p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14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Килограмм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196.0000</w:t>
            </w:r>
          </w:p>
        </w:tc>
        <w:tc>
          <w:tcPr>
            <w:tcW w:w="923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013259">
        <w:trPr>
          <w:trHeight w:val="3435"/>
        </w:trPr>
        <w:tc>
          <w:tcPr>
            <w:tcW w:w="648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</w:t>
            </w:r>
          </w:p>
        </w:tc>
        <w:tc>
          <w:tcPr>
            <w:tcW w:w="1692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Pr="00067BEF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proofErr w:type="spellStart"/>
            <w:r>
              <w:rPr>
                <w:sz w:val="16"/>
                <w:szCs w:val="16"/>
                <w:lang w:bidi="ru-RU"/>
              </w:rPr>
              <w:t>Гурнтовка</w:t>
            </w:r>
            <w:proofErr w:type="spellEnd"/>
            <w:r>
              <w:rPr>
                <w:sz w:val="16"/>
                <w:szCs w:val="16"/>
                <w:lang w:bidi="ru-RU"/>
              </w:rPr>
              <w:t xml:space="preserve"> на основе</w:t>
            </w:r>
            <w:r>
              <w:rPr>
                <w:sz w:val="16"/>
                <w:szCs w:val="16"/>
                <w:lang w:bidi="ru-RU"/>
              </w:rPr>
              <w:t xml:space="preserve"> акриловых или виниловых полимеров в водой среде</w:t>
            </w:r>
          </w:p>
        </w:tc>
        <w:tc>
          <w:tcPr>
            <w:tcW w:w="1301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20.30.11.130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Назначение: Для внутренних и наружных работ глубокого проникновения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067BEF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Соответствие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Для обработки</w:t>
                  </w:r>
                  <w:r w:rsidRPr="00067BEF">
                    <w:rPr>
                      <w:sz w:val="16"/>
                      <w:szCs w:val="16"/>
                    </w:rPr>
                    <w:t xml:space="preserve"> впитывающих оснований перед нанесением штукатурок, самовыравнивающих смесей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067BEF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067BEF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Соответствие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Водно-дисперсионная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067BEF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Концентрация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Готовый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13259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067BEF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Фасовка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13259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13259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10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067BEF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067BEF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067BEF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Килограмм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067BEF" w:rsidRDefault="00067BEF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067BEF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067BEF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96C34" w:rsidRDefault="0006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140.0000</w:t>
            </w:r>
          </w:p>
        </w:tc>
        <w:tc>
          <w:tcPr>
            <w:tcW w:w="923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067BEF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</w:tbl>
    <w:p w:rsidR="00396C34" w:rsidRDefault="00067BEF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396C34" w:rsidRDefault="00067BEF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396C34" w:rsidRDefault="00067BEF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В случае наличия технических опечаток в единицах измерения показателей, их следует читать в соответствии с Международной системой единиц (СИ).</w:t>
      </w:r>
    </w:p>
    <w:p w:rsidR="00396C34" w:rsidRDefault="00067BEF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</w:t>
      </w:r>
    </w:p>
    <w:p w:rsidR="00396C34" w:rsidRDefault="00067BEF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Применение параметров, условных об</w:t>
      </w:r>
      <w:r>
        <w:rPr>
          <w:color w:val="000000"/>
          <w:sz w:val="16"/>
          <w:szCs w:val="16"/>
        </w:rPr>
        <w:t>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</w:t>
      </w:r>
      <w:r>
        <w:rPr>
          <w:color w:val="000000"/>
          <w:sz w:val="16"/>
          <w:szCs w:val="16"/>
        </w:rPr>
        <w:t>адлежащего качества, с параметрами в наибольшей степени удовлетворяющими потребности Заказчика.</w:t>
      </w:r>
    </w:p>
    <w:p w:rsidR="00396C34" w:rsidRDefault="00067BEF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067BEF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067BEF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spacing w:line="360" w:lineRule="auto"/>
        <w:rPr>
          <w:color w:val="000000"/>
          <w:lang w:bidi="ru-RU"/>
        </w:rPr>
      </w:pPr>
    </w:p>
    <w:p w:rsidR="00396C34" w:rsidRDefault="00067BEF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A75CAC" w:rsidRDefault="00067BEF">
      <w:pPr>
        <w:jc w:val="both"/>
        <w:rPr>
          <w:color w:val="000000"/>
        </w:rPr>
      </w:pPr>
    </w:p>
    <w:sectPr w:rsidR="00A75CAC">
      <w:pgSz w:w="16838" w:h="11906" w:orient="landscape"/>
      <w:pgMar w:top="1134" w:right="425" w:bottom="680" w:left="357" w:header="720" w:footer="720" w:gutter="0"/>
      <w:cols w:space="720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259"/>
    <w:rsid w:val="00013259"/>
    <w:rsid w:val="0006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52EF0E"/>
  <w15:docId w15:val="{89375716-AC46-44A2-8133-4A8EB845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Евгений Маслов</cp:lastModifiedBy>
  <cp:revision>4</cp:revision>
  <cp:lastPrinted>2018-02-08T14:51:00Z</cp:lastPrinted>
  <dcterms:created xsi:type="dcterms:W3CDTF">2025-02-12T08:24:00Z</dcterms:created>
  <dcterms:modified xsi:type="dcterms:W3CDTF">2025-04-29T03:52:00Z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