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10603"/>
      </w:tblGrid>
      <w:tr>
        <w:trPr>
          <w:trHeight w:val="2866"/>
        </w:trPr>
        <w:tc>
          <w:tcPr>
            <w:tcW w:w="10603" w:type="dxa"/>
            <w:vMerge w:val="restart"/>
            <w:shd w:val="clear" w:color="auto" w:fill="auto"/>
          </w:tcPr>
          <w:p>
            <w:pPr>
              <w:rPr>
                <w:rFonts w:ascii="Times New Roman" w:hAnsi="Times New Roman" w:eastAsia="Times New Roman" w:cs="Times New Roman"/>
                <w:color w:val="000000"/>
                <w:sz w:val="24"/>
                <w:spacing w:val="-2"/>
              </w:rPr>
              <w:spacing w:line="229"/>
              <w:jc w:val="center"/>
            </w:pPr>
            <w:r>
              <w:rPr>
                <w:sz w:val="24"/>
                <w:szCs w:val="24"/>
                <w:rFonts w:ascii="Times New Roman" w:hAnsi="Times New Roman" w:eastAsia="Times New Roman" w:cs="Times New Roman"/>
                <w:spacing w:val="-2"/>
              </w:rPr>
              <w:t xml:space="preserve">	</w:t>
            </w:r>
            <w:r>
              <w:rPr>
                <w:b/>
                <w:sz w:val="24"/>
                <w:szCs w:val="24"/>
                <w:rFonts w:ascii="Times New Roman" w:hAnsi="Times New Roman" w:eastAsia="Times New Roman" w:cs="Times New Roman"/>
                <w:spacing w:val="-2"/>
              </w:rPr>
              <w:t xml:space="preserve">Порядок внесения денежных средств в качестве обеспечения заявки на участие в закупке</w:t>
            </w: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29"/>
              <w:jc w:val="center"/>
            </w:pP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 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 Государственные, муниципальные учреждения не предоставляют обеспечение подаваемых ими заявок на участие в закупках.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3. Обеспечение заявки на участие в закупке предоставляется одним из следующих способов: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путем предоставления независимой гарантии, соответствующей требованиям статьи 45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4.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 в сфере закупок.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5. В случае предоставления обеспечения заявки на участие в закупке в виде денежных средств: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банк не позднее сорока минут с момента получения информации, предусмотренной подпунктом «б» настоящего пункта,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 44-ФЗ возврат заявки подавшему ее участнику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6. 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единой информационной системе в сфере закупок,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7. В случае выявления обстоятельств, свидетельствующих о соответствии банка, не включенного в перечень, предусмотренный подпунктом «а» пункта 3 настоящего раздела, установленным требованиям либо о несоответствии банка, включенного в такой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w:t>
            </w:r>
          </w:p>
          <w:p/>
        </w:tc>
      </w:tr>
      <w:tr>
        <w:trPr>
          <w:trHeight w:val="2865"/>
        </w:trPr>
        <w:tc>
          <w:tcPr>
            <w:tcW w:w="10603" w:type="dxa"/>
            <w:vMerge/>
            <w:shd w:val="clear" w:color="auto" w:fill="auto"/>
          </w:tcPr>
          <w:p/>
        </w:tc>
      </w:tr>
      <w:tr>
        <w:trPr>
          <w:trHeight w:val="2866"/>
        </w:trPr>
        <w:tc>
          <w:tcPr>
            <w:tcW w:w="10603" w:type="dxa"/>
            <w:vMerge/>
            <w:shd w:val="clear" w:color="auto" w:fill="auto"/>
          </w:tcPr>
          <w:p/>
        </w:tc>
      </w:tr>
      <w:tr>
        <w:trPr>
          <w:trHeight w:val="2865"/>
        </w:trPr>
        <w:tc>
          <w:tcPr>
            <w:tcW w:w="10603" w:type="dxa"/>
            <w:vMerge/>
            <w:shd w:val="clear" w:color="auto" w:fill="auto"/>
          </w:tcPr>
          <w:p/>
        </w:tc>
      </w:tr>
      <w:tr>
        <w:trPr>
          <w:trHeight w:val="2064"/>
        </w:trPr>
        <w:tc>
          <w:tcPr>
            <w:tcW w:w="10603" w:type="dxa"/>
            <w:vMerge/>
            <w:shd w:val="clear" w:color="auto" w:fill="auto"/>
          </w:tcPr>
          <w:p/>
        </w:tc>
      </w:tr>
      <w:tr>
        <w:trPr>
          <w:trHeight w:val="2049"/>
        </w:trPr>
        <w:tc>
          <w:tcPr>
            <w:tcW w:w="10603" w:type="dxa"/>
            <w:vMerge/>
            <w:shd w:val="clear" w:color="auto" w:fill="auto"/>
          </w:tcPr>
          <w:p/>
        </w:tc>
      </w:tr>
      <w:tr>
        <w:trPr>
          <w:trHeight w:val="2865"/>
        </w:trPr>
        <w:tc>
          <w:tcPr>
            <w:tcW w:w="10603" w:type="dxa"/>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обстоятельств для внесения соответствующих изменений в перечень.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8. Каждый оператор электронной площадки заключает соглашение о взаимодействии с каждым из банков, включенных в перечень, предусмотренный подпунктом «а» пункта 3 настоящегораздела. Требования к условиям таких соглашений определяются Правительством Российской Федерации. Взаимодействие между оператором электронной площадки и банком в соответствии с требованиями настоящегораздела осуществляется в электронной форме.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9. 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Денежные средства, находящиеся на специальном счете участника закупки, могут использоваться для обеспечения заявок на участие в закупках исключительно такого участника закупки. Блокирование денежных средств в целях обеспечения заявки на участие в закупке на специальном счете осуществляется и прекращается банком на основании информации, полученной от оператора электронной площадки в соответствии с настоящим разделом. На денежные средства, заблокированные в соответствии с настоящим разделом, не может быть обращено взыскание по обязательствам участника закупки. 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на участие в закупке. Размер таких процентов определяется договором специального счета, заключаемым участником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10. 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блокирование и прекращение блокирования денежных средств в соответствии с требованиями настоящего раздела.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предусмотренного Законом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перевод в случаях, предусмотренных настоящим разделом, заблокированных денежных средств в размере обеспечения соответствующей заявки: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на счет, на котором в соответствии с законодательством Российской Федерации учитываются операции со средствами, поступающими заказчику;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соответствующий бюджет бюджетной системы Российской Федерации.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11. Оператор электронной площадки направляет в банк информацию о реквизитах специального счета для осуществления банком по такому счету операции, предусмотренной пунктом 10 настоящего раздела, в течение одного часа с момента наступления следующих случаев: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отклонение заявки на участие в закупке (за исключением случая, предусмотренного пунктом 14 настоящего раздела), отстранение участника закупки от участия в определении поставщика (подрядчика, исполнителя) в соответствии с Законом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отзыв заявки участником закупки в соответствии с Законом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заключение контракта в соответствии с Законом № 44-ФЗ с участником закупки. В этом случае оператор электронной площадки направляет также информацию о реквизитах специальных счетов всех участников закупки, заявки которых не были отклонены, отстранены, отозваны в соответствии с Законом № 44-ФЗ, за исключением участников закупки, признанных в соответствии с Законом № 44-ФЗ уклонившимися от заключения контракта;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г) отмена закупки в соответствии со статьей 36 Закона № 44-ФЗ. В этом случае оператор электронной площадки направляет информацию о реквизитах специальных счетов всех участников закупки, подавших заявки на участие в закупке;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 получение решения контрольного органа в сфере закупок об отказе в согласовании заключения контракта с единственным поставщиком (подрядчиком, исполнителем);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е) получение предусмотренного Законом № 44-ФЗ решения об отказе во включении информации об участнике закупки в реестр недобросовестных поставщиков (подрядчиков, исполнителей) в связи с его уклонением от заключения контракта;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ж) включение информации об участнике закупки в реестр недобросовестных поставщиков (подрядчиков, исполнителей) в соответствии со статьей 104 Закона № 44-ФЗ в связи с его уклонением от заключения контракта.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12. Банк не позднее одного часа с момента получения информации, предусмотренной подпунктами «а» - «е» пункта 11 настоящего раздела, прекращает осуществленное в соответствии с подпунктом «в» пункта 5 настоящего раздела блокирование денежных средств на специальном счете (специальных счетах), реквизиты которого (которых) направлены оператором электронной площадки, и направляет информацию о прекращении такого блокирования оператору электронной площадки.Не позднее одного часа с момента получения информации, предусмотренной подпунктом «ж» пункта 11 настоящего раздела, банк осуществляет перевод заблокированных в соответствии с подпунктом «в» </w:t>
            </w:r>
          </w:p>
          <w:p/>
        </w:tc>
      </w:tr>
      <w:tr>
        <w:trPr>
          <w:trHeight w:val="2866"/>
        </w:trPr>
        <w:tc>
          <w:tcPr>
            <w:tcW w:w="10603" w:type="dxa"/>
            <w:vMerge/>
            <w:shd w:val="clear" w:color="auto" w:fill="auto"/>
          </w:tcPr>
          <w:p/>
        </w:tc>
      </w:tr>
      <w:tr>
        <w:trPr>
          <w:trHeight w:val="2865"/>
        </w:trPr>
        <w:tc>
          <w:tcPr>
            <w:tcW w:w="10603" w:type="dxa"/>
            <w:vMerge/>
            <w:shd w:val="clear" w:color="auto" w:fill="auto"/>
          </w:tcPr>
          <w:p/>
        </w:tc>
      </w:tr>
      <w:tr>
        <w:trPr>
          <w:trHeight w:val="2866"/>
        </w:trPr>
        <w:tc>
          <w:tcPr>
            <w:tcW w:w="10603" w:type="dxa"/>
            <w:vMerge/>
            <w:shd w:val="clear" w:color="auto" w:fill="auto"/>
          </w:tcPr>
          <w:p/>
        </w:tc>
      </w:tr>
      <w:tr>
        <w:trPr>
          <w:trHeight w:val="2049"/>
        </w:trPr>
        <w:tc>
          <w:tcPr>
            <w:tcW w:w="10603" w:type="dxa"/>
            <w:vMerge/>
            <w:shd w:val="clear" w:color="auto" w:fill="auto"/>
          </w:tcPr>
          <w:p/>
        </w:tc>
      </w:tr>
      <w:tr>
        <w:trPr>
          <w:trHeight w:val="2049"/>
        </w:trPr>
        <w:tc>
          <w:tcPr>
            <w:tcW w:w="10603" w:type="dxa"/>
            <w:vMerge/>
            <w:shd w:val="clear" w:color="auto" w:fill="auto"/>
          </w:tcPr>
          <w:p/>
        </w:tc>
      </w:tr>
      <w:tr>
        <w:trPr>
          <w:trHeight w:val="2865"/>
        </w:trPr>
        <w:tc>
          <w:tcPr>
            <w:tcW w:w="10603" w:type="dxa"/>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пункта 5 настоящего раздела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направляет информацию о таком переводе оператору электронной площадки.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13. Возврат независимой гарантии, предоставленной для обеспечения заявки на участие в закупке, в случаях, предусмотренных подпунктами «а» - «е» пункта 11 настоящего раздела, заказчиком лицу или гаранту, предоставившим независимую гарантию, не осуществляется, взыскание по ней не производится. В случае, предусмотренном подпунктом «ж» пункта 11 настоящего раздела, заказчик предъявляет требование об уплате денежной суммы по независимой гарантии, предоставленной для обеспечения заявки на участие в закупке участником закупки, информация о котором включена в реестр недобросовестных поставщиков (подрядчиков, исполнителей) в связи с уклонением такого участника от заключения контракта.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14. В случае, если при проведении электронных процедур в течение одного квартала календарного года на одной электронной площадке в отношении трех и более заявок одного участника закупки комиссиями по осуществлению закупок приняты решения о несоответствии указанных заявок требованиям, предусмотренным извещением об осуществлении закупки, по основаниям, установленным пунктами 1 - 3, 5 - 9 части 12 статьи 48 Закона № 44-ФЗ, в порядке, предусмотренном пунктом15 настоящего раздела, осуществляется перечисление в соответствующий бюджет бюджетной системы Российской Федерации заблокированных на специальном счете участника закупки денежных средств в размере обеспечения каждой третьей такой заявки или в порядке, предусмотренном пунктом 16 настоящего раздела, предъявляется требование об уплате денежной суммы по независимой гарантии, предоставленной для обеспечения каждой третьей такой заявки.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15. Если в случае, предусмотренном пунктом 14 настоящего раздела, обеспечение заявки на участие в закупке, являющейся третьей заявкой, предоставлено в виде денежных средств: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оператор электронной площадки через пятнадцать рабочих дней со дня, следующего за днем размещения на электронной площадке в отношении такой заявки протокола, указанного в части 17 статьи 48, пункте 2 части 5 статьи 49, пункте 2 части 3 статьи 50 Закона № 44-ФЗ,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Закона № 44-ФЗ) в банк информацию о реквизитах специального счета участника закупки, подавшего такую заявку;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банк не позднее одного часа с момента получения информации, предусмотренной подпунктом «а» настоящего пункта, осуществляет перевод заблокированных на специальном счете участника закупки денежных средств в размере обеспечения такой заявки в соответствующий бюджет бюджетной системы Российской Федерации и направляет информацию о таком переводе оператору электронной площадки;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оператор электронной площадки не позднее одного часа с момента получения от банка информации о перечислении, предусмотренной подпунктом «б» настоящего пункта, направляет участнику закупки информацию о таком перечислении.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16. Если в случае, предусмотренном пунктом 14 настоящего раздела, обеспечение заявки на участие в закупке, являющейся третьей заявкой, предоставлено в виде независимой гарантии: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оператор электронной площадки через пятнадцать рабочих дней со дня, следующего за днем размещения на электронной площадке в отношении такой заявки протокола, указанного в части 17 статьи 48, пункте 2 части 5 статьи 49, пункте 2 части 3 статьи 50 Закона № 44-ФЗ,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Закона № 44-ФЗ) заказчику, разместившему такой соответствующий протокол, информацию о наступлении случая, предусмотренного пунктом 14 настоящего раздела, и об участнике закупки, подавшем такую заявку;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заказчик не позднее трех рабочих дней со дня, следующего за днем получения информации, предусмотренной подпунктом «а» настоящего пункта, предъявляет требование об уплате денежной суммы по независимой гарантии, предоставленной таким участником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17.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денежные средства вносятся участниками закупки на счет, указанный заказчиком (уполномоченным органом)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б) заявка на участие в закупке должна содержать информацию и документы, подтверждающие </w:t>
            </w:r>
          </w:p>
          <w:p/>
        </w:tc>
      </w:tr>
      <w:tr>
        <w:trPr>
          <w:trHeight w:val="2866"/>
        </w:trPr>
        <w:tc>
          <w:tcPr>
            <w:tcW w:w="10603" w:type="dxa"/>
            <w:vMerge/>
            <w:shd w:val="clear" w:color="auto" w:fill="auto"/>
          </w:tcPr>
          <w:p/>
        </w:tc>
      </w:tr>
      <w:tr>
        <w:trPr>
          <w:trHeight w:val="2866"/>
        </w:trPr>
        <w:tc>
          <w:tcPr>
            <w:tcW w:w="10603" w:type="dxa"/>
            <w:vMerge/>
            <w:shd w:val="clear" w:color="auto" w:fill="auto"/>
          </w:tcPr>
          <w:p/>
        </w:tc>
      </w:tr>
      <w:tr>
        <w:trPr>
          <w:trHeight w:val="2865"/>
        </w:trPr>
        <w:tc>
          <w:tcPr>
            <w:tcW w:w="10603" w:type="dxa"/>
            <w:vMerge/>
            <w:shd w:val="clear" w:color="auto" w:fill="auto"/>
          </w:tcPr>
          <w:p/>
        </w:tc>
      </w:tr>
      <w:tr>
        <w:trPr>
          <w:trHeight w:val="2063"/>
        </w:trPr>
        <w:tc>
          <w:tcPr>
            <w:tcW w:w="10603" w:type="dxa"/>
            <w:vMerge/>
            <w:shd w:val="clear" w:color="auto" w:fill="auto"/>
          </w:tcPr>
          <w:p/>
        </w:tc>
      </w:tr>
      <w:tr>
        <w:trPr>
          <w:trHeight w:val="2049"/>
        </w:trPr>
        <w:tc>
          <w:tcPr>
            <w:tcW w:w="10603" w:type="dxa"/>
            <w:vMerge/>
            <w:shd w:val="clear" w:color="auto" w:fill="auto"/>
          </w:tcPr>
          <w:p/>
        </w:tc>
      </w:tr>
      <w:tr>
        <w:trPr>
          <w:trHeight w:val="2866"/>
        </w:trPr>
        <w:tc>
          <w:tcPr>
            <w:tcW w:w="10603" w:type="dxa"/>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предоставление обеспечения заявки на участие в закупке, в форме электронных документов или в форме электронных образов бумажных документов;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настоящего пункта.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 44-ФЗ. Возврат таких денежных средств участнику закупки не осуществляется в случае, предусмотренном пунктом 7 части 10 статьи 44 Закона № 44-ФЗ. </w:t>
            </w:r>
          </w:p>
          <w:p>
            <w:pPr>
              <w:rPr>
                <w:rFonts w:ascii="Times New Roman" w:hAnsi="Times New Roman" w:eastAsia="Times New Roman" w:cs="Times New Roman"/>
                <w:color w:val="000000"/>
                <w:sz w:val="24"/>
                <w:spacing w:val="-2"/>
              </w:rPr>
              <w:spacing w:line="229"/>
              <w:jc w:val="both"/>
            </w:pPr>
          </w:p>
          <w:p>
            <w:pPr>
              <w:rPr>
                <w:rFonts w:ascii="Times New Roman" w:hAnsi="Times New Roman" w:eastAsia="Times New Roman" w:cs="Times New Roman"/>
                <w:color w:val="000000"/>
                <w:sz w:val="24"/>
                <w:spacing w:val="-2"/>
              </w:rPr>
              <w:spacing w:line="229"/>
              <w:jc w:val="center"/>
            </w:pPr>
            <w:r>
              <w:rPr>
                <w:sz w:val="24"/>
                <w:szCs w:val="24"/>
                <w:rFonts w:ascii="Times New Roman" w:hAnsi="Times New Roman" w:eastAsia="Times New Roman" w:cs="Times New Roman"/>
                <w:spacing w:val="-2"/>
              </w:rPr>
              <w:t xml:space="preserve">	</w:t>
            </w:r>
            <w:r>
              <w:rPr>
                <w:b/>
                <w:sz w:val="24"/>
                <w:szCs w:val="24"/>
                <w:rFonts w:ascii="Times New Roman" w:hAnsi="Times New Roman" w:eastAsia="Times New Roman" w:cs="Times New Roman"/>
                <w:spacing w:val="-2"/>
              </w:rPr>
              <w:t xml:space="preserve">Условия независимой гарантии для целей обеспечения заявки</w:t>
            </w:r>
            <w:r>
              <w:rPr>
                <w:sz w:val="24"/>
                <w:szCs w:val="24"/>
                <w:rFonts w:ascii="Times New Roman" w:hAnsi="Times New Roman" w:eastAsia="Times New Roman" w:cs="Times New Roman"/>
                <w:spacing w:val="-2"/>
              </w:rPr>
              <w:t xml:space="preserve"> </w:t>
            </w:r>
          </w:p>
          <w:p>
            <w:pPr>
              <w:rPr>
                <w:rFonts w:ascii="Times New Roman" w:hAnsi="Times New Roman" w:eastAsia="Times New Roman" w:cs="Times New Roman"/>
                <w:color w:val="000000"/>
                <w:sz w:val="24"/>
                <w:spacing w:val="-2"/>
              </w:rPr>
              <w:spacing w:line="229"/>
              <w:jc w:val="center"/>
            </w:pP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 Заказчики в качестве обеспечения заявок принимают независимые гарантии, выданные: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банками, соответствующими требованиям, установленным Правительством Российской Федерации, и включенными в перечень, предусмотренный частью 1.2 статьи 45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государственной корпорацией развития «ВЭБ.РФ»;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24.07.2007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Закона № 44-ФЗ (при осуществлении закупок в соответствии с пунктом 1 части 1 статьи 30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г)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2. Независимая гарантия должна быть безотзывной и должна содержать: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обязательства принципала, надлежащее исполнение которых обеспечивается независимой гарантией;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г)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 срок действия независимой гарантии с учетом требований статьи 44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е)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ж)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w:t>
            </w:r>
          </w:p>
          <w:p/>
        </w:tc>
      </w:tr>
      <w:tr>
        <w:trPr>
          <w:trHeight w:val="2865"/>
        </w:trPr>
        <w:tc>
          <w:tcPr>
            <w:tcW w:w="10603" w:type="dxa"/>
            <w:vMerge/>
            <w:shd w:val="clear" w:color="auto" w:fill="auto"/>
          </w:tcPr>
          <w:p/>
        </w:tc>
      </w:tr>
      <w:tr>
        <w:trPr>
          <w:trHeight w:val="2866"/>
        </w:trPr>
        <w:tc>
          <w:tcPr>
            <w:tcW w:w="10603" w:type="dxa"/>
            <w:vMerge/>
            <w:shd w:val="clear" w:color="auto" w:fill="auto"/>
          </w:tcPr>
          <w:p/>
        </w:tc>
      </w:tr>
      <w:tr>
        <w:trPr>
          <w:trHeight w:val="2866"/>
        </w:trPr>
        <w:tc>
          <w:tcPr>
            <w:tcW w:w="10603" w:type="dxa"/>
            <w:vMerge/>
            <w:shd w:val="clear" w:color="auto" w:fill="auto"/>
          </w:tcPr>
          <w:p/>
        </w:tc>
      </w:tr>
      <w:tr>
        <w:trPr>
          <w:trHeight w:val="2049"/>
        </w:trPr>
        <w:tc>
          <w:tcPr>
            <w:tcW w:w="10603" w:type="dxa"/>
            <w:vMerge/>
            <w:shd w:val="clear" w:color="auto" w:fill="auto"/>
          </w:tcPr>
          <w:p/>
        </w:tc>
      </w:tr>
      <w:tr>
        <w:trPr>
          <w:trHeight w:val="2048"/>
        </w:trPr>
        <w:tc>
          <w:tcPr>
            <w:tcW w:w="10603" w:type="dxa"/>
            <w:vMerge/>
            <w:shd w:val="clear" w:color="auto" w:fill="auto"/>
          </w:tcPr>
          <w:p/>
        </w:tc>
      </w:tr>
      <w:tr>
        <w:trPr>
          <w:trHeight w:val="2866"/>
        </w:trPr>
        <w:tc>
          <w:tcPr>
            <w:tcW w:w="10603" w:type="dxa"/>
            <w:vMerge w:val="restart"/>
            <w:shd w:val="clear" w:color="auto" w:fill="auto"/>
          </w:tcPr>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5. Заказчик рассматривает поступившую независимую гарантию в срок, не превышающий трех рабочих дней со дня ее поступления, если Законом № 44-ФЗ не установлено иное.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6. Основанием для отказа в принятии независимой гарантии заказчиком является: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отсутствие информации о независимой гарантии в предусмотренных статьей 45 Закона № 44-ФЗ реестрах независимых гарантий;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несоответствие независимой гарантии требованиям, предусмотренным частями 2, 3 и 8.2 статьи 45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несоответствие независимой гарантии требованиям, содержащимся в извещении об осуществлении закупки.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7. В случае отказа в принятии независимой гарантии заказчик в срок, установленный частью 5 статьи 45 Закона №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8. Независимая гарантия, используемая для целей Закона № 44-ФЗ,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9. Дополнительные требования к независимой гарантии, используемой для целей Закона № 44-ФЗ, порядок ведения и размещения в единой информационной системе в сфере закупок реестра независимых гарантий, порядок формирования и ведения закрытого реестра независимых гарантий, в том числе включения в него информации, порядок и сроки предоставления выписок из него, типовая форма независимой гарантии, используемой для целей Закона № 44-ФЗ, форма требования об уплате денежной суммы по независимой гарантии устанавливаются Правительством Российской Федерации.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10. В реестр независимых гарантий включаются следующие информация и документы: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а) наименование, место нахождения гаранта,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б)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в) денежная сумма, указанная в независимой гарантии и подлежащая уплате гарантом в случае неисполнения участником закупки в установленных случаях требований Закона № 44-ФЗ;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г) срок действия независимой гарантии;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д) иные информация и документы, перечень которых установлен Правительством Российской Федерации. </w:t>
            </w:r>
          </w:p>
          <w:p>
            <w:pPr>
              <w:rPr>
                <w:rFonts w:ascii="Times New Roman" w:hAnsi="Times New Roman" w:eastAsia="Times New Roman" w:cs="Times New Roman"/>
                <w:color w:val="000000"/>
                <w:sz w:val="24"/>
                <w:spacing w:val="-2"/>
              </w:rPr>
              <w:spacing w:line="229"/>
              <w:jc w:val="both"/>
            </w:pPr>
            <w:r>
              <w:rPr>
                <w:sz w:val="24"/>
                <w:szCs w:val="24"/>
                <w:rFonts w:ascii="Times New Roman" w:hAnsi="Times New Roman" w:eastAsia="Times New Roman" w:cs="Times New Roman"/>
                <w:spacing w:val="-2"/>
              </w:rPr>
              <w:t xml:space="preserve">	11. Гарант не позднее одного рабочего дня, следующего за датой выдачи независимой гарантии, или дня внесения изменений в условия независимой гарантии включает указанные в части 9 статьи 45 Закона № 44-ФЗ информацию и документы в реестр независимых гарантий. </w:t>
            </w:r>
          </w:p>
          <w:p/>
        </w:tc>
      </w:tr>
      <w:tr>
        <w:trPr>
          <w:trHeight w:val="2866"/>
        </w:trPr>
        <w:tc>
          <w:tcPr>
            <w:tcW w:w="10603" w:type="dxa"/>
            <w:vMerge/>
            <w:shd w:val="clear" w:color="auto" w:fill="auto"/>
          </w:tcPr>
          <w:p/>
        </w:tc>
      </w:tr>
      <w:tr>
        <w:trPr>
          <w:trHeight w:val="2865"/>
        </w:trPr>
        <w:tc>
          <w:tcPr>
            <w:tcW w:w="10603" w:type="dxa"/>
            <w:vMerge/>
            <w:shd w:val="clear" w:color="auto" w:fill="auto"/>
          </w:tcPr>
          <w:p/>
        </w:tc>
      </w:tr>
      <w:tr>
        <w:trPr>
          <w:trHeight w:val="1677"/>
        </w:trPr>
        <w:tc>
          <w:tcPr>
            <w:tcW w:w="10603" w:type="dxa"/>
            <w:vMerge/>
            <w:shd w:val="clear" w:color="auto" w:fill="auto"/>
          </w:tcPr>
          <w:p/>
        </w:tc>
      </w:tr>
      <w:tr>
        <w:trPr>
          <w:trHeight w:val="1676"/>
        </w:trPr>
        <w:tc>
          <w:tcPr>
            <w:tcW w:w="10603" w:type="dxa"/>
            <w:vMerge/>
            <w:shd w:val="clear" w:color="auto" w:fill="auto"/>
          </w:tcPr>
          <w:p/>
        </w:tc>
      </w:tr>
    </w:tbl>
    <w:sectPr>
      <w:pgSz w:w="11906" w:h="16781"/>
      <w:pgMar w:top="567" w:right="567" w:bottom="517" w:left="567" w:header="567" w:footer="517" w:gutter="0"/>
    </w:sectPr>
  </w:body>
</w:document>
</file>

<file path=word/fontTable.xml><?xml version="1.0" encoding="utf-8"?>
<w:fonts xmlns:r="http://schemas.openxmlformats.org/officeDocument/2006/relationships" xmlns:w="http://schemas.openxmlformats.org/wordprocessingml/2006/main">
  <w:font w:name="Cambria"/>
  <w:font w:name="Times New Roman"/>
  <w:font w:name="Calibri"/>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Application>Microsoft Office Word</Application>
  <Company>Stimulsoft Reports 2020.5.2 from 26 November 2020</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report_MeansInsertSupportOrder_(Sti)</dc:title>
  <dc:subject>report_MeansInsertSupportOrder_(Sti)</dc:subject>
  <dc:creator>gba</dc:creator>
  <cp:keywords/>
  <dc:description>Порядок внес ден ср в качестве ОЗ</dc:description>
  <cp:lastModifiedBy>Stimulsoft Reports 2020.5.2 from 26 November 2020</cp:lastModifiedBy>
  <cp:revision>1</cp:revision>
  <dcterms:created xsi:type="dcterms:W3CDTF">2025-04-29T11:31:39Z</dcterms:created>
  <dcterms:modified xsi:type="dcterms:W3CDTF">2025-04-29T11:31:39Z</dcterms:modified>
</cp:coreProperties>
</file>