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559"/>
        <w:gridCol w:w="1590"/>
        <w:gridCol w:w="3826"/>
        <w:gridCol w:w="3840"/>
        <w:gridCol w:w="57"/>
      </w:tblGrid>
      <w:tr>
        <w:trPr>
          <w:trHeight w:val="2866"/>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pPr>
          </w:p>
          <w:p>
            <w:pPr>
              <w:rPr>
                <w:rFonts w:ascii="Times New Roman" w:hAnsi="Times New Roman" w:eastAsia="Times New Roman" w:cs="Times New Roman"/>
                <w:color w:val="000000"/>
                <w:sz w:val="24"/>
                <w:spacing w:val="-2"/>
              </w:rPr>
              <w:spacing w:line="229"/>
              <w:jc w:val="center"/>
            </w:pPr>
            <w:r>
              <w:rPr>
                <w:b/>
                <w:sz w:val="24"/>
                <w:szCs w:val="24"/>
                <w:rFonts w:ascii="Times New Roman" w:hAnsi="Times New Roman" w:eastAsia="Times New Roman" w:cs="Times New Roman"/>
                <w:spacing w:val="-2"/>
              </w:rPr>
              <w:t xml:space="preserve">Требования к содержанию, составу заявки</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1.Заявка на участие в закупке, если иное не предусмотрено Законом № 44-ФЗ, должна содержать: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информацию и документы об участнике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w:t>
            </w:r>
          </w:p>
          <w:p/>
        </w:tc>
      </w:tr>
      <w:tr>
        <w:trPr>
          <w:trHeight w:val="2865"/>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865"/>
        </w:trPr>
        <w:tc>
          <w:tcPr>
            <w:tcW w:w="9872" w:type="dxa"/>
            <w:gridSpan w:val="5"/>
            <w:vMerge/>
            <w:shd w:val="clear" w:color="auto" w:fill="auto"/>
          </w:tcPr>
          <w:p/>
        </w:tc>
      </w:tr>
      <w:tr>
        <w:trPr>
          <w:trHeight w:val="2092"/>
        </w:trPr>
        <w:tc>
          <w:tcPr>
            <w:tcW w:w="9872" w:type="dxa"/>
            <w:gridSpan w:val="5"/>
            <w:vMerge/>
            <w:shd w:val="clear" w:color="auto" w:fill="auto"/>
          </w:tcPr>
          <w:p/>
        </w:tc>
      </w:tr>
      <w:tr>
        <w:trPr>
          <w:trHeight w:val="2078"/>
        </w:trPr>
        <w:tc>
          <w:tcPr>
            <w:tcW w:w="9872" w:type="dxa"/>
            <w:gridSpan w:val="5"/>
            <w:vMerge/>
            <w:shd w:val="clear" w:color="auto" w:fill="auto"/>
          </w:tcPr>
          <w:p/>
        </w:tc>
      </w:tr>
      <w:tr>
        <w:trPr>
          <w:trHeight w:val="2865"/>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предпринимателя в соответствии с законодательством соответствующего государства (если участником закупки является иностранное лицо);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декларация о принадлежности участника закупки к организации инвалидов, предусмотренной частью 2 статьи 29 Закона № 44-ФЗ (если участник закупки является такой организацией);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документы, подтверждающие соответствие участника закупки требованиям, установленным пунктом 1 части 1 статьи 31 Закона № 44-ФЗ (при установлении требования о представлении лицензии, допускается представление выписки из реестра лицензий, либо копии акта лицензирующего органа о принятом решении, выданные в соответствии с частью 8 статьи 21 Федерального закона от 04.05.2011 № 99-ФЗ «О лицензировании отдельных видов деятельности»(далее – Закон № 99-ФЗ). При установлении требования о представлении выписки из реестра лицензий, допускается представление копии акта лицензирующего органа о принятом решении, выданного в соответствии с частью 8 статьи 21 Закона № 99-ФЗ. Указанные документы будут подтверждать представление документа, предусмотренного пунктом 1 части 1 статьи 31 Закона № 44-ФЗ; также подтверждением соответствия участника закупки требованиям, установленным в пункте 1 части 1 статьи 31 Закона № 44-ФЗ, будет являться предоставление информации, содержащей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статуса (действующая, не приостановлена, не приостановлена частично, не прекращена),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 44-ФЗ, если иное не предусмотрено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декларация о соответствии участника закупки требованиям, установленным пунктами 3 - 5, 7 - 11 части 1 статьи 31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предложение участника закупки в отношении объекта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с учетом положений части 2 статьи 43 Закона № 44-ФЗ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 44-ФЗ, товарный знак (при наличии у товара товарного знака);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представление указанных документов предусмотрено разделом «Документы, требуемые в соответствии с пунктом 1 части 1 статьи 31 Закона№ 44-ФЗ, документы, подтверждающие соответствие товара, работы или услуги требованиям, установленным в соответствии с законодательством Российской Федерации» настоящего электронного документа);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r>
              <w:rPr>
                <w:sz w:val="24"/>
                <w:szCs w:val="24"/>
                <w:rFonts w:ascii="Times New Roman" w:hAnsi="Times New Roman" w:eastAsia="Times New Roman" w:cs="Times New Roman"/>
                <w:spacing w:val="-2"/>
              </w:rPr>
              <w:t xml:space="preserve"/>
            </w:r>
          </w:p>
          <w:p/>
        </w:tc>
      </w:tr>
      <w:tr>
        <w:trPr>
          <w:trHeight w:val="2866"/>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865"/>
        </w:trPr>
        <w:tc>
          <w:tcPr>
            <w:tcW w:w="9872" w:type="dxa"/>
            <w:gridSpan w:val="5"/>
            <w:vMerge/>
            <w:shd w:val="clear" w:color="auto" w:fill="auto"/>
          </w:tcPr>
          <w:p/>
        </w:tc>
      </w:tr>
      <w:tr>
        <w:trPr>
          <w:trHeight w:val="2078"/>
        </w:trPr>
        <w:tc>
          <w:tcPr>
            <w:tcW w:w="9872" w:type="dxa"/>
            <w:gridSpan w:val="5"/>
            <w:vMerge/>
            <w:shd w:val="clear" w:color="auto" w:fill="auto"/>
          </w:tcPr>
          <w:p/>
        </w:tc>
      </w:tr>
      <w:tr>
        <w:trPr>
          <w:trHeight w:val="2077"/>
        </w:trPr>
        <w:tc>
          <w:tcPr>
            <w:tcW w:w="9872" w:type="dxa"/>
            <w:gridSpan w:val="5"/>
            <w:vMerge/>
            <w:shd w:val="clear" w:color="auto" w:fill="auto"/>
          </w:tcPr>
          <w:p/>
        </w:tc>
      </w:tr>
      <w:tr>
        <w:trPr>
          <w:trHeight w:val="2866"/>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предложение участника закупки о цене контракта (за исключением случая, предусмотренного пунктом 4 части 1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предложение участника закупки о сумме цен единиц товара, работы, услуги (в случае, предусмотренном частью 24 статьи 22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информация и документы, определенные в соответствии с пунктом 2 части 2 статьи 14 Закона № 44-ФЗ (в случае, если в извещении об осуществлении закупки, документации о закупке (если настоящим Законом № 44-ФЗ предусмотрена документация о закупке) установлены предусмотренные указанной статьей запрет, ограничение, преимущество) согласно разделу «Информация и документы, определенные в соответствии с пунктом 2 части 2 статьи 14 Закона № 44-ФЗ» настоящего электронного документа.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2. При формировании предложения участника закупки в отношении объекта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информация о товаре, предусмотренная подпунктами «а» и «б» пункта 2 части 1 статьи 43 Закона №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Закона №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информация, предусмотренная подпунктами «а» и «г» пункта 2 части 1 статьи 43 Закона № 44-ФЗ,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3. Участник закупки вправе подать только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до окончания установленного срока подачи заявок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4.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5. При проведении электронных процедур, закрытых электронных процедур: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подать 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участник закупки путем направления такой заявки в соответствии с Законом № 44-ФЗ оператору электронной площадки.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информация и документы, предусмотренные подпунктами «а» - «л» пункта 1 части 1 статьи 43 Закона № 44-ФЗ, не включаются участником закупки в заявку на участие в закупке. Такие информация и документы в случаях, предусмотренных Законом № 44-ФЗ, направляются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 в сфере закупок;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 44-ФЗ, и предусмотренные подпунктом «н» пункта 1 части 1 статьи 43 Закона № 44-ФЗ, не включаются участником закупки в заявку на участие в закупке. Такие документы в случаях, предусмотренных Законом № 44-ФЗ, направляются (по состоянию на дату и время их направления) заказчику (уполномоченному органу) оператором электронной площадки из реестра участников закупок, аккредитованных на электронной площадке;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не позднее одного часа с момента получения заявки на участие в закупке оператор электронной площадки осуществляет возврат заявки подавшему ее участнику закупки в случаях: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заявки на участие в закупке с нарушением требований, предусмотренных частью 1 статьи 5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w:t>
            </w:r>
          </w:p>
          <w:p/>
        </w:tc>
      </w:tr>
      <w:tr>
        <w:trPr>
          <w:trHeight w:val="2866"/>
        </w:trPr>
        <w:tc>
          <w:tcPr>
            <w:tcW w:w="9872" w:type="dxa"/>
            <w:gridSpan w:val="5"/>
            <w:vMerge/>
            <w:shd w:val="clear" w:color="auto" w:fill="auto"/>
          </w:tcPr>
          <w:p/>
        </w:tc>
      </w:tr>
      <w:tr>
        <w:trPr>
          <w:trHeight w:val="2865"/>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092"/>
        </w:trPr>
        <w:tc>
          <w:tcPr>
            <w:tcW w:w="9872" w:type="dxa"/>
            <w:gridSpan w:val="5"/>
            <w:vMerge/>
            <w:shd w:val="clear" w:color="auto" w:fill="auto"/>
          </w:tcPr>
          <w:p/>
        </w:tc>
      </w:tr>
      <w:tr>
        <w:trPr>
          <w:trHeight w:val="2077"/>
        </w:trPr>
        <w:tc>
          <w:tcPr>
            <w:tcW w:w="9872" w:type="dxa"/>
            <w:gridSpan w:val="5"/>
            <w:vMerge/>
            <w:shd w:val="clear" w:color="auto" w:fill="auto"/>
          </w:tcPr>
          <w:p/>
        </w:tc>
      </w:tr>
      <w:tr>
        <w:trPr>
          <w:trHeight w:val="2866"/>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участнику закупки возвращаются все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заявки на участие в закупке после окончания срока подачи заявок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участником закупки в соответствии с Законом № 44-ФЗ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указания в соответствии с подпунктом «б» пункта 2 части 1 статьи 43 Закона № 44-ФЗ иностранного государства в качестве страны происхождении товара в случае установления в соответствии с подпунктом «а» пункта 1 части 2 статьи 14 Закона № 44-ФЗ в извещении об осуществлении закупки запрета закупки товара, происходящего из иностранного государства;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получения оператором электронной площадки от банка информации, указанной в подпункте «г» пункта 3 части 5 статьи 44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отсутствия номера реестровой записи в реестре независимых гарантий, размещенном в единой информационной системе в сфере закупок,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а также если сумма независимой гарантии менее размера обеспечения заявок на участие в закупке, установленного заказчиком в соответствии с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наличия в предусмотренном Законом № 44-ФЗ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частью 1.1 статьи 31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частью 3 статьи 31 Закона № 44-ФЗ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частью 2 или 2.1 статьи 31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частью 3 статьи 30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заявки участником закупки, являющимся иностранным лицом, в случае установления в соответствии с подпунктом «а» пункта 1 части 2 статьи 14 Закона № 44-ФЗ в извещении об осуществлении закупки запрета закупки работы, услуги, соответственно выполняемой, оказываемой иностранным лицом;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одновременно с возвратом заявки на участие в закупке, предусмотренным пунктом 5 части 6 статьи 43 Закона № 44-ФЗ, оператор электронной площадки направляет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части 6 статьи 43 Закона № 44-ФЗ, не допускается;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е) участник закупки после возврата ему заявки на участие в закупке по основаниям, предусмотренным пунктом 5 части 6 статьи 43 Закона № 44-ФЗ, вправе подать новую заявку на участие в закупке в соответствии с требованиями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ж) не позднее одного часа с момента получения заявки на участие в закупке, которая не подлежит возврату в соответствии с пунктом 5 части 6 статьи 43 Закона № 44-ФЗ,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з) не позднее одного часа с момента окончания срока подачи заявок на участие в закупке оператор электронной площадки направляет заказчику (уполномоченному органу) в соответствии с Законом № 44-ФЗ заявки на участие в закупке, которые не возвращены по основаниям, предусмотренным пунктом 5 части 6 статьи 43 Закона № 44-ФЗ, а также информацию о дате и времени их подачи.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6. Участник закупки, подавший заявку на участие в закупке, вправе в соответствии с частями 10 и 11 статьи 43 Закона № 44-ФЗ отозвать такую заявку: </w:t>
            </w:r>
            <w:r>
              <w:rPr>
                <w:sz w:val="24"/>
                <w:szCs w:val="24"/>
                <w:rFonts w:ascii="Times New Roman" w:hAnsi="Times New Roman" w:eastAsia="Times New Roman" w:cs="Times New Roman"/>
                <w:spacing w:val="-2"/>
              </w:rPr>
              <w:t xml:space="preserve"/>
            </w:r>
          </w:p>
          <w:p/>
        </w:tc>
      </w:tr>
      <w:tr>
        <w:trPr>
          <w:trHeight w:val="2865"/>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077"/>
        </w:trPr>
        <w:tc>
          <w:tcPr>
            <w:tcW w:w="9872" w:type="dxa"/>
            <w:gridSpan w:val="5"/>
            <w:vMerge/>
            <w:shd w:val="clear" w:color="auto" w:fill="auto"/>
          </w:tcPr>
          <w:p/>
        </w:tc>
      </w:tr>
      <w:tr>
        <w:trPr>
          <w:trHeight w:val="2078"/>
        </w:trPr>
        <w:tc>
          <w:tcPr>
            <w:tcW w:w="9872" w:type="dxa"/>
            <w:gridSpan w:val="5"/>
            <w:vMerge/>
            <w:shd w:val="clear" w:color="auto" w:fill="auto"/>
          </w:tcPr>
          <w:p/>
        </w:tc>
      </w:tr>
      <w:tr>
        <w:trPr>
          <w:trHeight w:val="2865"/>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до окончания срока подачи заявок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с момента размещения в соответствии с Законом № 44-ФЗ в единой информационной системе в сфере закупок протокола подведения итогов определения поставщика (подрядчика, исполнителя) до размещения в соответствии с частью 2 статьи 51 Закона № 44-ФЗ проекта контракта, заключаемого с таким участником закупки, за исключением случаев, если такая заявка отклонена. Не допускается отзыв заявок, которым в соответствии с Законом № 44-ФЗ присвоены первые три порядковых номера.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7. Если участник закупки отзывает заявку на участие в закупке, такой участник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в случае, предусмотренном пунктом 1 части 9 статьи 43 Закона № 44-ФЗ, заявка на участие в закупке считается отозванной с момента подписания в соответствии с пунктом 1 части 10 статьи 43 Закона № 44-ФЗ отзыва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в случае, предусмотренном пунктом 2 части 9 статьи 43 Закона № 44-ФЗ, оператор электронной площадки не позднее одного часа с момента подписания в соответствии с пунктом 1 части 10 статьи 43 Закона № 44-ФЗ отзыва заявки на участие в закупке направляет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в сфере закупок. С момента направления отзыва заявки на участие в закупке в соответствии с настоящим подпунктом заявка на участие в закупке считается отозванной.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8. Заявка на участие в электронном аукционе должна содержать информацию и документы, предусмотренные подпунктами «м» - «п» пункта 1, подпунктами «а» - «в» пункта 2, пунктом 3 или пунктом 4, пунктом 5 части 1 статьи 43 Закона № 44-ФЗ. Заявка также может содержать информацию и документы, предусмотренные подпунктом «д» пункта 2 части 1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9.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10. Внимание!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11. В случае осуществления закупки лекарственных препаратов, включенных в перечень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12.10.2019 № 2406-р, лекарственных препаратов, включенных в перечень стратегически значимых лекарственных средств, производство которых должно быть обеспечено на территории Российской Федерации, утвержденный распоряжением Правительства Российской Федерации от 06.07.2010 № 1141-р в отношении заявки, содержащей предложение о поставке таких лекарственных препаратов только российского происхождения, помимо предусмотренного пунктом 1 постановления Правительства Российской Федерации от 23.12.2024 № 1875 ограничения, также применяется предусмотренное пунктом 1 постановления Правительства Российской Федерации от 23.12.2024 № 1875 преимущество, при котором для цели такого преимущества заявка на участие в закупке, в которой содержится предложение о поставке такого лекарственного препарата, происходящего из государств - членов Евразийского экономического союза, в том числе из Российской Федерации, но не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приравнивается к заявке на участие в закупке, в которой содержится предложение о поставке товара,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Законом № 44-ФЗ требованиям и содержащая предложение о поставке лекарственного препарата, все стадии производства которого (в том числе синтез молекулы действующего вещества при производстве фармацевтических субстанций) </w:t>
            </w:r>
          </w:p>
          <w:p/>
        </w:tc>
      </w:tr>
      <w:tr>
        <w:trPr>
          <w:trHeight w:val="2866"/>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865"/>
        </w:trPr>
        <w:tc>
          <w:tcPr>
            <w:tcW w:w="9872" w:type="dxa"/>
            <w:gridSpan w:val="5"/>
            <w:vMerge/>
            <w:shd w:val="clear" w:color="auto" w:fill="auto"/>
          </w:tcPr>
          <w:p/>
        </w:tc>
      </w:tr>
      <w:tr>
        <w:trPr>
          <w:trHeight w:val="2092"/>
        </w:trPr>
        <w:tc>
          <w:tcPr>
            <w:tcW w:w="9872" w:type="dxa"/>
            <w:gridSpan w:val="5"/>
            <w:vMerge/>
            <w:shd w:val="clear" w:color="auto" w:fill="auto"/>
          </w:tcPr>
          <w:p/>
        </w:tc>
      </w:tr>
      <w:tr>
        <w:trPr>
          <w:trHeight w:val="2078"/>
        </w:trPr>
        <w:tc>
          <w:tcPr>
            <w:tcW w:w="9872" w:type="dxa"/>
            <w:gridSpan w:val="5"/>
            <w:vMerge/>
            <w:shd w:val="clear" w:color="auto" w:fill="auto"/>
          </w:tcPr>
          <w:p/>
        </w:tc>
      </w:tr>
      <w:tr>
        <w:trPr>
          <w:trHeight w:val="1447"/>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осуществляются на территориях государств - членов Евразийского экономического союза (для стратегически значимых лекарственных препаратов установленное настоящим пунктом правило применяется до 31.12.2025).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12. Если одновременно установлен запрет на допуск и ограничение допуска в соответствии с требованиями статьи 14 Закона № 44-ФЗ, то запрет касается программного обеспечения (программного комплекса) в соответствии «о», «с» пункта 4 постановления Правительства Российской Федерации от 23.12.2024 № 1875 и позицией 146 приложения № 1 к постановлению Правительства Российской Федерации от 23.12.2024 № 1875, ограничение – приобретаемой ЭВМ (аппаратного комплекса) входящей в перечень товаров, указанных в перечне приложения № 2 к постановлению Правительства Российской Федерации от 23.12.2024 № 1875.</w:t>
            </w:r>
          </w:p>
          <w:p/>
        </w:tc>
      </w:tr>
      <w:tr>
        <w:trPr>
          <w:trHeight w:val="1433"/>
        </w:trPr>
        <w:tc>
          <w:tcPr>
            <w:tcW w:w="9872" w:type="dxa"/>
            <w:gridSpan w:val="5"/>
            <w:vMerge/>
            <w:shd w:val="clear" w:color="auto" w:fill="auto"/>
          </w:tcPr>
          <w:p/>
        </w:tc>
      </w:tr>
      <w:tr>
        <w:trPr>
          <w:trHeight w:val="2865"/>
        </w:trPr>
        <w:tc>
          <w:tcPr>
            <w:tcW w:w="9872" w:type="dxa"/>
            <w:gridSpan w:val="5"/>
            <w:vMerge w:val="restart"/>
            <w:tcMar>
              <w:left w:w="14" w:type="dxa"/>
              <w:right w:w="14" w:type="dxa"/>
            </w:tcMar>
            <w:shd w:val="clear" w:color="auto" w:fill="auto"/>
          </w:tcPr>
          <w:p>
            <w:pPr>
              <w:rPr>
                <w:rFonts w:ascii="Times New Roman" w:hAnsi="Times New Roman" w:eastAsia="Times New Roman" w:cs="Times New Roman"/>
                <w:color w:val="000000"/>
                <w:sz w:val="24"/>
                <w:spacing w:val="-2"/>
              </w:rPr>
              <w:spacing w:line="229"/>
              <w:jc w:val="center"/>
            </w:pPr>
            <w:r>
              <w:rPr>
                <w:b/>
                <w:sz w:val="24"/>
                <w:szCs w:val="24"/>
                <w:rFonts w:ascii="Times New Roman" w:hAnsi="Times New Roman" w:eastAsia="Times New Roman" w:cs="Times New Roman"/>
                <w:spacing w:val="-2"/>
              </w:rPr>
              <w:t xml:space="preserve">Инструкция по порядку заполнению заявки</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 Предоставление участниками закупки сведений о поставляемых товарах, которые являются предметом закупки, о качестве, технических характеристиках товара, его безопасности, функциональных характеристиках (потребительских свойствах) товара, о размере, об упаковке и иные сведения о товаре, представление которых предусмотрено извещением об осуществлении закупки, осуществляется в соответствии с требованиями, указанными в извещении об осуществлении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2. Сведения, которые содержатся в заявках участников закупки, не должны допускать двусмысленных толкований, а также должны отсутствовать неоднозначности в описании товаров.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3. Если в тексте заявки участником закупки используются сокращения, нестандартные термины, то должна быть приведена их расшифровка.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4. Заявка на участие в закупке должна соответствовать требованиям извещения об осуществлении закупки, не должна содержать недостоверных сведений об участнике закупки или о товарах, указанных в описании объекта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5. При осуществлении закупок лекарственных препаратов</w:t>
            </w:r>
            <w:r>
              <w:rPr>
                <w:sz w:val="24"/>
                <w:szCs w:val="24"/>
                <w:rFonts w:ascii="Times New Roman" w:hAnsi="Times New Roman" w:eastAsia="Times New Roman" w:cs="Times New Roman"/>
                <w:spacing w:val="-2"/>
              </w:rPr>
              <w:t xml:space="preserve"> для медицинского применения предлагаемый в заявке лекарственный препарат должен соответствовать лекарственному препарату по основному варианту поставки или альтернативному варианту поставки или указанному в качестве взаимозаменяемого согласно перечню взаимозаменяемых лекарственных препаратов, размещенному на сайте Министерства здравоохранения Российской Федерации (в случае наличия технической возможности предложения взаимозаменяемого лекарственного препарата согласно перечню взаимозаменяемых лекарственных препаратов, размещенному на сайте Министерства здравоохранения Российской Федерации при заполнении заявки с использованием средств электронной площадки если такой препарат не указан в основном или альтернативном варианте поставки).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6. Комиссией по осуществлению закупок при оценке заявок на участие в закупках по поставке лекарственных препаратов для медицинского применения рассматривается предложение в отношении дозировки и лекарственной формы, указанное исключительно в разделе заявки «торговое наименование».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7. Порядок предоставления показателей товара содержится в структурированном описании объекта закупки извещения.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8. В случае наличия прилагаемого файла с описанием объекта закупки, участник закупки подавая заявку соглашается с дополнительными характеристиками, предусмотренными статьей 33 Закона № 44-ФЗ, не вошедшими в структурированное описание (схемы, эскизы, указания на ГОСТы и т.п.). </w:t>
            </w:r>
          </w:p>
          <w:p/>
        </w:tc>
      </w:tr>
      <w:tr>
        <w:trPr>
          <w:trHeight w:val="2866"/>
        </w:trPr>
        <w:tc>
          <w:tcPr>
            <w:tcW w:w="9872" w:type="dxa"/>
            <w:gridSpan w:val="5"/>
            <w:vMerge/>
            <w:shd w:val="clear" w:color="auto" w:fill="auto"/>
          </w:tcPr>
          <w:p/>
        </w:tc>
      </w:tr>
      <w:tr>
        <w:trPr>
          <w:trHeight w:val="1948"/>
        </w:trPr>
        <w:tc>
          <w:tcPr>
            <w:tcW w:w="9872" w:type="dxa"/>
            <w:gridSpan w:val="5"/>
            <w:vMerge/>
            <w:shd w:val="clear" w:color="auto" w:fill="auto"/>
          </w:tcPr>
          <w:p/>
        </w:tc>
      </w:tr>
      <w:tr>
        <w:trPr>
          <w:trHeight w:val="1935"/>
        </w:trPr>
        <w:tc>
          <w:tcPr>
            <w:tcW w:w="9872" w:type="dxa"/>
            <w:gridSpan w:val="5"/>
            <w:vMerge/>
            <w:shd w:val="clear" w:color="auto" w:fill="auto"/>
          </w:tcPr>
          <w:p/>
        </w:tc>
      </w:tr>
      <w:tr>
        <w:trPr>
          <w:trHeight w:val="1805"/>
        </w:trPr>
        <w:tc>
          <w:tcPr>
            <w:tcW w:w="9872" w:type="dxa"/>
            <w:gridSpan w:val="5"/>
            <w:tcMar>
              <w:top w:w="14" w:type="dxa"/>
              <w:left w:w="14" w:type="dxa"/>
              <w:right w:w="14" w:type="dxa"/>
            </w:tcMar>
            <w:shd w:val="clear" w:color="auto" w:fill="auto"/>
          </w:tcPr>
          <w:p>
            <w:pPr>
              <w:rPr>
                <w:rFonts w:ascii="Times New Roman" w:hAnsi="Times New Roman" w:eastAsia="Times New Roman" w:cs="Times New Roman"/>
                <w:color w:val="000000"/>
                <w:sz w:val="24"/>
                <w:spacing w:val="-2"/>
              </w:rPr>
              <w:spacing w:line="229"/>
              <w:jc w:val="center"/>
            </w:pPr>
            <w:r>
              <w:rPr>
                <w:b/>
                <w:sz w:val="24"/>
                <w:szCs w:val="24"/>
                <w:rFonts w:ascii="Times New Roman" w:hAnsi="Times New Roman" w:eastAsia="Times New Roman" w:cs="Times New Roman"/>
                <w:spacing w:val="-2"/>
              </w:rPr>
              <w:t xml:space="preserve">Информация и документы, определенные в соответствии с пунктом 2 части 2 статьи 14 Закона № 44-ФЗ</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Информация и документы, подтверждающие страну происхождения товара, программ для электронных вычислительных машин и (или) баз данных (далее – программное обеспечение) в случае закупки товаров из приложения № 1 (запрет закупок) Постановления № 1875: </w:t>
            </w:r>
          </w:p>
          <w:p/>
        </w:tc>
      </w:tr>
      <w:tr>
        <w:trPr>
          <w:trHeight w:val="702"/>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 п/п</w:t>
            </w:r>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Позиции </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приложения № 1</w:t>
            </w:r>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Российская Федерация </w:t>
            </w:r>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Государства - члены Евразийского экономического союза </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(за исключением Российской Федерации)</w:t>
            </w:r>
          </w:p>
        </w:tc>
        <w:tc>
          <w:tcPr>
            <w:tcW w:w="57" w:type="dxa"/>
            <w:tcBorders>
              <w:left w:val="single" w:sz="5" w:space="0" w:color="000000"/>
            </w:tcBorders>
          </w:tcPr>
          <w:p/>
        </w:tc>
      </w:tr>
      <w:tr>
        <w:trPr>
          <w:trHeight w:val="616"/>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1</w:t>
            </w:r>
          </w:p>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позиции </w:t>
            </w: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1 – 145 </w:t>
            </w:r>
            <w:r>
              <w:rPr>
                <w:sz w:val="20"/>
                <w:szCs w:val="20"/>
                <w:rFonts w:ascii="Times New Roman" w:hAnsi="Times New Roman" w:eastAsia="Times New Roman" w:cs="Times New Roman"/>
                <w:spacing w:val="-2"/>
              </w:rPr>
              <w:t xml:space="preserve"/>
            </w:r>
          </w:p>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номер реестровой записи из реестра российской промышленной продукции, </w:t>
            </w:r>
          </w:p>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номер реестровой записи из евразийского реестра промышленных товаров государств - </w:t>
            </w:r>
          </w:p>
          <w:p/>
        </w:tc>
        <w:tc>
          <w:tcPr>
            <w:tcW w:w="57" w:type="dxa"/>
            <w:tcBorders>
              <w:left w:val="single" w:sz="5" w:space="0" w:color="000000"/>
            </w:tcBorders>
          </w:tcPr>
          <w:p/>
        </w:tc>
      </w:tr>
      <w:tr>
        <w:trPr>
          <w:trHeight w:val="2866"/>
        </w:trPr>
        <w:tc>
          <w:tcPr>
            <w:tcW w:w="559" w:type="dxa"/>
            <w:vMerge w:val="restart"/>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(промышленные товары)</w:t>
            </w:r>
            <w:r>
              <w:rPr>
                <w:sz w:val="20"/>
                <w:szCs w:val="20"/>
                <w:rFonts w:ascii="Times New Roman" w:hAnsi="Times New Roman" w:eastAsia="Times New Roman" w:cs="Times New Roman"/>
                <w:spacing w:val="-2"/>
              </w:rPr>
              <w:t xml:space="preserve"> </w:t>
            </w:r>
            <w:r>
              <w:rPr>
                <w:sz w:val="20"/>
                <w:szCs w:val="20"/>
                <w:rFonts w:ascii="Times New Roman" w:hAnsi="Times New Roman" w:eastAsia="Times New Roman" w:cs="Times New Roman"/>
                <w:spacing w:val="-2"/>
              </w:rPr>
              <w:t xml:space="preserve"/>
            </w:r>
          </w:p>
          <w:p/>
        </w:tc>
        <w:tc>
          <w:tcPr>
            <w:tcW w:w="3826"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предусмотренного статьей 17.1 Федерального закона «О промышленной политике в Российской Федерации», содержащей в том числе: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 совокупном количестве баллов за выполнение (освоение) на территории Российской Федерации соответствующих операций (условий) </w:t>
            </w:r>
            <w:r>
              <w:rPr>
                <w:b/>
                <w:i/>
                <w:sz w:val="20"/>
                <w:szCs w:val="20"/>
                <w:rFonts w:ascii="Times New Roman" w:hAnsi="Times New Roman" w:eastAsia="Times New Roman" w:cs="Times New Roman"/>
                <w:spacing w:val="-2"/>
              </w:rPr>
              <w:t xml:space="preserve">(если в отношении такого товара постановлением Правительства Российской Федерации от 17.07.2015 № 719 «О подтверждении производства российской промышленной продукции» (далее – ПП 719)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Pr>
                <w:sz w:val="20"/>
                <w:szCs w:val="20"/>
                <w:rFonts w:ascii="Times New Roman" w:hAnsi="Times New Roman" w:eastAsia="Times New Roman" w:cs="Times New Roman"/>
                <w:spacing w:val="-2"/>
              </w:rPr>
              <w:t xml:space="preserve">, которое составляет или превышает значение, определенное постановлением ПП 719 для целей осуществления закупок;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об уровне радиоэлектронной продукции </w:t>
            </w:r>
            <w:r>
              <w:rPr>
                <w:b/>
                <w:i/>
                <w:sz w:val="20"/>
                <w:szCs w:val="20"/>
                <w:rFonts w:ascii="Times New Roman" w:hAnsi="Times New Roman" w:eastAsia="Times New Roman" w:cs="Times New Roman"/>
                <w:spacing w:val="-2"/>
              </w:rPr>
              <w:t xml:space="preserve">(для товара, являющегося в соответствии с ПП 719 радиоэлектронной продукцией первого уровня или радиоэлектронной продукцией второго уровня)</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w:r>
          </w:p>
          <w:p/>
        </w:tc>
        <w:tc>
          <w:tcPr>
            <w:tcW w:w="384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Pr>
                <w:b/>
                <w:i/>
                <w:sz w:val="20"/>
                <w:szCs w:val="20"/>
                <w:rFonts w:ascii="Times New Roman" w:hAnsi="Times New Roman" w:eastAsia="Times New Roman" w:cs="Times New Roman"/>
                <w:spacing w:val="-2"/>
              </w:rPr>
              <w:t xml:space="preserve">(если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Pr>
                <w:sz w:val="20"/>
                <w:szCs w:val="20"/>
                <w:rFonts w:ascii="Times New Roman" w:hAnsi="Times New Roman" w:eastAsia="Times New Roman" w:cs="Times New Roman"/>
                <w:spacing w:val="-2"/>
              </w:rPr>
              <w:t xml:space="preserve">, которое составляет или превышает значение, определенное правом Евразийского экономического союза;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об уровне радиоэлектронной продукции </w:t>
            </w:r>
            <w:r>
              <w:rPr>
                <w:b/>
                <w:i/>
                <w:sz w:val="20"/>
                <w:szCs w:val="20"/>
                <w:rFonts w:ascii="Times New Roman" w:hAnsi="Times New Roman" w:eastAsia="Times New Roman" w:cs="Times New Roman"/>
                <w:spacing w:val="-2"/>
              </w:rPr>
              <w:t xml:space="preserve">(для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sz w:val="20"/>
                <w:szCs w:val="20"/>
                <w:rFonts w:ascii="Times New Roman" w:hAnsi="Times New Roman" w:eastAsia="Times New Roman" w:cs="Times New Roman"/>
                <w:spacing w:val="-2"/>
              </w:rPr>
              <w:t xml:space="preserve"> </w:t>
            </w:r>
            <w:r>
              <w:rPr>
                <w:sz w:val="20"/>
                <w:szCs w:val="20"/>
                <w:rFonts w:ascii="Times New Roman" w:hAnsi="Times New Roman" w:eastAsia="Times New Roman" w:cs="Times New Roman"/>
                <w:spacing w:val="-2"/>
              </w:rPr>
              <w:t xml:space="preserve"/>
            </w:r>
          </w:p>
          <w:p/>
        </w:tc>
        <w:tc>
          <w:tcPr>
            <w:tcW w:w="57" w:type="dxa"/>
            <w:tcBorders>
              <w:left w:val="single" w:sz="5" w:space="0" w:color="000000"/>
            </w:tcBorders>
          </w:tcPr>
          <w:p/>
        </w:tc>
      </w:tr>
      <w:tr>
        <w:trPr>
          <w:trHeight w:val="1791"/>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1791"/>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450"/>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2</w:t>
            </w:r>
          </w:p>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позиция 146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(программное обеспечение без дополнительных требований, утвержденных постановлением Правительства Российской Федерации от 23.03.2017 № 325)</w:t>
            </w:r>
            <w:r>
              <w:rPr>
                <w:sz w:val="20"/>
                <w:szCs w:val="20"/>
                <w:rFonts w:ascii="Times New Roman" w:hAnsi="Times New Roman" w:eastAsia="Times New Roman" w:cs="Times New Roman"/>
                <w:spacing w:val="-2"/>
              </w:rPr>
              <w:t xml:space="preserve"> </w:t>
            </w:r>
            <w:r>
              <w:rPr>
                <w:sz w:val="20"/>
                <w:szCs w:val="20"/>
                <w:rFonts w:ascii="Times New Roman" w:hAnsi="Times New Roman" w:eastAsia="Times New Roman" w:cs="Times New Roman"/>
                <w:spacing w:val="-2"/>
              </w:rPr>
              <w:t xml:space="preserve"/>
            </w:r>
          </w:p>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tc>
        <w:tc>
          <w:tcPr>
            <w:tcW w:w="57" w:type="dxa"/>
            <w:tcBorders>
              <w:left w:val="single" w:sz="5" w:space="0" w:color="000000"/>
            </w:tcBorders>
          </w:tcPr>
          <w:p/>
        </w:tc>
      </w:tr>
      <w:tr>
        <w:trPr>
          <w:trHeight w:val="1447"/>
        </w:trPr>
        <w:tc>
          <w:tcPr>
            <w:tcW w:w="559"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3</w:t>
            </w:r>
          </w:p>
          <w:p/>
        </w:tc>
        <w:tc>
          <w:tcPr>
            <w:tcW w:w="159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позиция 146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(программное обеспечение к которому установлены дополнительные требования, утвержденные постановлением Правительства Российской Федерации от 23.03.2017 № 325)</w:t>
            </w:r>
            <w:r>
              <w:rPr>
                <w:sz w:val="20"/>
                <w:szCs w:val="20"/>
                <w:rFonts w:ascii="Times New Roman" w:hAnsi="Times New Roman" w:eastAsia="Times New Roman" w:cs="Times New Roman"/>
                <w:spacing w:val="-2"/>
              </w:rPr>
              <w:t xml:space="preserve"> </w:t>
            </w:r>
            <w:r>
              <w:rPr>
                <w:sz w:val="20"/>
                <w:szCs w:val="20"/>
                <w:rFonts w:ascii="Times New Roman" w:hAnsi="Times New Roman" w:eastAsia="Times New Roman" w:cs="Times New Roman"/>
                <w:spacing w:val="-2"/>
              </w:rPr>
              <w:t xml:space="preserve"/>
            </w:r>
          </w:p>
          <w:p/>
        </w:tc>
        <w:tc>
          <w:tcPr>
            <w:tcW w:w="3826"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порядковый номер реестровой записи из единого реестра российского программного обеспечения, содержащий информацию о соответствии программного обеспечения дополнительным требованиям к программному обеспечению</w:t>
            </w:r>
          </w:p>
          <w:p/>
        </w:tc>
        <w:tc>
          <w:tcPr>
            <w:tcW w:w="384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порядковый номер реестровой записи из реестра евразийского программного обеспечения, содержащий информацию о соответствии программного обеспечения дополнительным требованиям к программному обеспечению</w:t>
            </w:r>
          </w:p>
          <w:p/>
        </w:tc>
        <w:tc>
          <w:tcPr>
            <w:tcW w:w="57" w:type="dxa"/>
            <w:tcBorders>
              <w:left w:val="single" w:sz="5" w:space="0" w:color="000000"/>
            </w:tcBorders>
          </w:tcPr>
          <w:p/>
        </w:tc>
      </w:tr>
      <w:tr>
        <w:trPr>
          <w:trHeight w:val="1447"/>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1347"/>
        </w:trPr>
        <w:tc>
          <w:tcPr>
            <w:tcW w:w="9872" w:type="dxa"/>
            <w:gridSpan w:val="5"/>
            <w:tcMar>
              <w:top w:w="14" w:type="dxa"/>
              <w:left w:w="14" w:type="dxa"/>
              <w:right w:w="14" w:type="dxa"/>
            </w:tcMar>
            <w:shd w:val="clear" w:color="auto" w:fill="auto"/>
          </w:tcPr>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Информация и документы, подтверждающие страну происхождения товара, в случае закупки товаров из приложения № 2 (ограничение закупок) Постановления № 1875: </w:t>
            </w:r>
          </w:p>
          <w:p/>
        </w:tc>
      </w:tr>
      <w:tr>
        <w:trPr>
          <w:trHeight w:val="702"/>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 п/п</w:t>
            </w:r>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Позиции </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приложения № 2</w:t>
            </w:r>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Российская Федерация </w:t>
            </w:r>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Государства - члены Евразийского экономического союза </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(за исключением Российской Федерации)</w:t>
            </w:r>
          </w:p>
        </w:tc>
        <w:tc>
          <w:tcPr>
            <w:tcW w:w="57" w:type="dxa"/>
            <w:tcBorders>
              <w:left w:val="single" w:sz="5" w:space="0" w:color="000000"/>
            </w:tcBorders>
          </w:tcPr>
          <w:p/>
        </w:tc>
      </w:tr>
      <w:tr>
        <w:trPr>
          <w:trHeight w:val="1791"/>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1</w:t>
            </w:r>
          </w:p>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позиции 1 – 433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(промышленные товары, радиоэлектронная продукция, медицинские изделия, лекарственные </w:t>
            </w:r>
          </w:p>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 совокупном количестве </w:t>
            </w:r>
          </w:p>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 </w:t>
            </w:r>
            <w:r>
              <w:rPr>
                <w:sz w:val="20"/>
                <w:szCs w:val="20"/>
                <w:rFonts w:ascii="Times New Roman" w:hAnsi="Times New Roman" w:eastAsia="Times New Roman" w:cs="Times New Roman"/>
                <w:spacing w:val="-2"/>
              </w:rPr>
              <w:t xml:space="preserve"/>
            </w:r>
          </w:p>
          <w:p/>
        </w:tc>
        <w:tc>
          <w:tcPr>
            <w:tcW w:w="57" w:type="dxa"/>
            <w:tcBorders>
              <w:left w:val="single" w:sz="5" w:space="0" w:color="000000"/>
            </w:tcBorders>
          </w:tcPr>
          <w:p/>
        </w:tc>
      </w:tr>
      <w:tr>
        <w:trPr>
          <w:trHeight w:val="2866"/>
        </w:trPr>
        <w:tc>
          <w:tcPr>
            <w:tcW w:w="559" w:type="dxa"/>
            <w:vMerge w:val="restart"/>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препараты)</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i/>
                <w:color w:val="FF0000"/>
                <w:sz w:val="20"/>
                <w:szCs w:val="20"/>
                <w:rFonts w:ascii="Times New Roman" w:hAnsi="Times New Roman" w:eastAsia="Times New Roman" w:cs="Times New Roman"/>
                <w:spacing w:val="-2"/>
              </w:rPr>
              <w:t xml:space="preserve">в отношении медицинских изделий, указанных в позициях 400-432, не применяется до 01.09.2025</w:t>
            </w:r>
            <w:r>
              <w:rPr>
                <w:sz w:val="20"/>
                <w:szCs w:val="20"/>
                <w:rFonts w:ascii="Times New Roman" w:hAnsi="Times New Roman" w:eastAsia="Times New Roman" w:cs="Times New Roman"/>
                <w:spacing w:val="-2"/>
              </w:rPr>
              <w:t xml:space="preserve"> </w:t>
            </w:r>
          </w:p>
          <w:p/>
        </w:tc>
        <w:tc>
          <w:tcPr>
            <w:tcW w:w="3826"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баллов за выполнение (освоение) на территории Российской Федерации соответствующих операций (условий) </w:t>
            </w:r>
            <w:r>
              <w:rPr>
                <w:b/>
                <w:i/>
                <w:sz w:val="20"/>
                <w:szCs w:val="20"/>
                <w:rFonts w:ascii="Times New Roman" w:hAnsi="Times New Roman" w:eastAsia="Times New Roman" w:cs="Times New Roman"/>
                <w:spacing w:val="-2"/>
              </w:rPr>
              <w:t xml:space="preserve">(если в отношении такого товара ПП 719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Pr>
                <w:sz w:val="20"/>
                <w:szCs w:val="20"/>
                <w:rFonts w:ascii="Times New Roman" w:hAnsi="Times New Roman" w:eastAsia="Times New Roman" w:cs="Times New Roman"/>
                <w:spacing w:val="-2"/>
              </w:rPr>
              <w:t xml:space="preserve">, которое составляет или превышает значение, определенное ПП 719 для целей осуществления закупок;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об уровне радиоэлектронной продукции </w:t>
            </w:r>
            <w:r>
              <w:rPr>
                <w:b/>
                <w:i/>
                <w:sz w:val="20"/>
                <w:szCs w:val="20"/>
                <w:rFonts w:ascii="Times New Roman" w:hAnsi="Times New Roman" w:eastAsia="Times New Roman" w:cs="Times New Roman"/>
                <w:spacing w:val="-2"/>
              </w:rPr>
              <w:t xml:space="preserve">(для товара, являющегося в соответствии с ПП 719 радиоэлектронной продукцией первого уровня или радиоэлектронной продукцией второго уровня)</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подпунктов «у» и «ф» пункта 4 постановления Правительства Российской Федерации от 23.12.2024 № 1875 </w:t>
            </w:r>
            <w:r>
              <w:rPr>
                <w:b/>
                <w:i/>
                <w:sz w:val="20"/>
                <w:szCs w:val="20"/>
                <w:rFonts w:ascii="Times New Roman" w:hAnsi="Times New Roman" w:eastAsia="Times New Roman" w:cs="Times New Roman"/>
                <w:spacing w:val="-2"/>
              </w:rPr>
              <w:t xml:space="preserve">(при осуществлении закупок товара, указанного в позиции 433)</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b/>
                <w:i/>
                <w:sz w:val="20"/>
                <w:szCs w:val="20"/>
                <w:rFonts w:ascii="Times New Roman" w:hAnsi="Times New Roman" w:eastAsia="Times New Roman" w:cs="Times New Roman"/>
                <w:spacing w:val="-2"/>
              </w:rPr>
              <w:t xml:space="preserve">При осуществлении закупок товаров, указанных в позициях 362-399 и 433, извещения об осуществлении которых размещены в единой информационной системе по 31.08.2025 включительно</w:t>
            </w:r>
            <w:r>
              <w:rPr>
                <w:sz w:val="20"/>
                <w:szCs w:val="20"/>
                <w:rFonts w:ascii="Times New Roman" w:hAnsi="Times New Roman" w:eastAsia="Times New Roman" w:cs="Times New Roman"/>
                <w:spacing w:val="-2"/>
              </w:rPr>
              <w:t xml:space="preserve"> документом,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подпунктами «а» и «б» пункта 3 постановления Правительства Российской Федерации от 23.12.2024 № 1875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 </w:t>
            </w:r>
          </w:p>
          <w:p/>
        </w:tc>
        <w:tc>
          <w:tcPr>
            <w:tcW w:w="384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Pr>
                <w:b/>
                <w:i/>
                <w:sz w:val="20"/>
                <w:szCs w:val="20"/>
                <w:rFonts w:ascii="Times New Roman" w:hAnsi="Times New Roman" w:eastAsia="Times New Roman" w:cs="Times New Roman"/>
                <w:spacing w:val="-2"/>
              </w:rPr>
              <w:t xml:space="preserve">(если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Pr>
                <w:sz w:val="20"/>
                <w:szCs w:val="20"/>
                <w:rFonts w:ascii="Times New Roman" w:hAnsi="Times New Roman" w:eastAsia="Times New Roman" w:cs="Times New Roman"/>
                <w:spacing w:val="-2"/>
              </w:rPr>
              <w:t xml:space="preserve">, которое составляет или превышает значение, определенное правом Евразийского экономического союза;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об уровне радиоэлектронной продукции </w:t>
            </w:r>
            <w:r>
              <w:rPr>
                <w:b/>
                <w:i/>
                <w:sz w:val="20"/>
                <w:szCs w:val="20"/>
                <w:rFonts w:ascii="Times New Roman" w:hAnsi="Times New Roman" w:eastAsia="Times New Roman" w:cs="Times New Roman"/>
                <w:spacing w:val="-2"/>
              </w:rPr>
              <w:t xml:space="preserve">(для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подпунктов «у» и «ф» пункта 4 постановления Правительства Российской Федерации от 23.12.2024 № 1875 </w:t>
            </w:r>
            <w:r>
              <w:rPr>
                <w:b/>
                <w:i/>
                <w:sz w:val="20"/>
                <w:szCs w:val="20"/>
                <w:rFonts w:ascii="Times New Roman" w:hAnsi="Times New Roman" w:eastAsia="Times New Roman" w:cs="Times New Roman"/>
                <w:spacing w:val="-2"/>
              </w:rPr>
              <w:t xml:space="preserve">(при осуществлении закупок товара, указанного в позиции 433)</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b/>
                <w:i/>
                <w:sz w:val="20"/>
                <w:szCs w:val="20"/>
                <w:rFonts w:ascii="Times New Roman" w:hAnsi="Times New Roman" w:eastAsia="Times New Roman" w:cs="Times New Roman"/>
                <w:spacing w:val="-2"/>
              </w:rPr>
              <w:t xml:space="preserve">При осуществлении закупок товаров, указанных в позициях 362-399 и 433, извещения об осуществлении которых размещены в единой информационной системе по 31.08.2025 включительно</w:t>
            </w:r>
            <w:r>
              <w:rPr>
                <w:sz w:val="20"/>
                <w:szCs w:val="20"/>
                <w:rFonts w:ascii="Times New Roman" w:hAnsi="Times New Roman" w:eastAsia="Times New Roman" w:cs="Times New Roman"/>
                <w:spacing w:val="-2"/>
              </w:rPr>
              <w:t xml:space="preserve"> документом,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подпунктами «а» и «б» пункта 3 постановления Правительства Российской Федерации от 23.12.2024 № 1875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и в соответствии с критериями определения страны происхождения товаров, предусмотренными Правилами определения страны происхождения товаров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b/>
                <w:i/>
                <w:color w:val="FF0000"/>
                <w:sz w:val="20"/>
                <w:szCs w:val="20"/>
                <w:rFonts w:ascii="Times New Roman" w:hAnsi="Times New Roman" w:eastAsia="Times New Roman" w:cs="Times New Roman"/>
                <w:spacing w:val="-2"/>
              </w:rPr>
              <w:t xml:space="preserve">При этом при закупке товаров, указанных в </w:t>
            </w:r>
          </w:p>
          <w:p/>
        </w:tc>
        <w:tc>
          <w:tcPr>
            <w:tcW w:w="57" w:type="dxa"/>
            <w:tcBorders>
              <w:left w:val="single" w:sz="5" w:space="0" w:color="000000"/>
            </w:tcBorders>
          </w:tcPr>
          <w:p/>
        </w:tc>
      </w:tr>
      <w:tr>
        <w:trPr>
          <w:trHeight w:val="2865"/>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866"/>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865"/>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078"/>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077"/>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379"/>
        </w:trPr>
        <w:tc>
          <w:tcPr>
            <w:tcW w:w="559" w:type="dxa"/>
            <w:tcBorders>
              <w:top w:val="single" w:sz="5" w:space="0" w:color="000000"/>
              <w:left w:val="single" w:sz="5" w:space="0" w:color="000000"/>
              <w:bottom w:val="single" w:sz="5" w:space="0" w:color="000000"/>
              <w:right w:val="single" w:sz="5" w:space="0" w:color="000000"/>
            </w:tcBorders>
            <w:shd w:val="clear" w:color="auto" w:fill="auto"/>
          </w:tcPr>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b/>
                <w:i/>
                <w:color w:val="FF0000"/>
                <w:sz w:val="20"/>
                <w:szCs w:val="20"/>
                <w:rFonts w:ascii="Times New Roman" w:hAnsi="Times New Roman" w:eastAsia="Times New Roman" w:cs="Times New Roman"/>
                <w:spacing w:val="-2"/>
              </w:rPr>
              <w:t xml:space="preserve">позиции 433 приложения № 2, такой сертификат подтверждает страну происхождения товара до внесения изменений в право Евразийского экономического союза, предусматривающих подтверждение страны происхождения товаров путем представления информации из евразийского реестра промышленных товаров)</w:t>
            </w:r>
            <w:r>
              <w:rPr>
                <w:sz w:val="20"/>
                <w:szCs w:val="20"/>
                <w:rFonts w:ascii="Times New Roman" w:hAnsi="Times New Roman" w:eastAsia="Times New Roman" w:cs="Times New Roman"/>
                <w:spacing w:val="-2"/>
              </w:rPr>
              <w:t xml:space="preserve"> </w:t>
            </w:r>
          </w:p>
          <w:p/>
        </w:tc>
        <w:tc>
          <w:tcPr>
            <w:tcW w:w="57" w:type="dxa"/>
            <w:tcBorders>
              <w:left w:val="single" w:sz="5" w:space="0" w:color="000000"/>
            </w:tcBorders>
          </w:tcPr>
          <w:p/>
        </w:tc>
      </w:tr>
      <w:tr>
        <w:trPr>
          <w:trHeight w:val="2106"/>
        </w:trPr>
        <w:tc>
          <w:tcPr>
            <w:tcW w:w="559"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2</w:t>
            </w:r>
          </w:p>
          <w:p/>
        </w:tc>
        <w:tc>
          <w:tcPr>
            <w:tcW w:w="159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позиции 400-432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(медицинские изделия)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i/>
                <w:color w:val="FF0000"/>
                <w:sz w:val="20"/>
                <w:szCs w:val="20"/>
                <w:rFonts w:ascii="Times New Roman" w:hAnsi="Times New Roman" w:eastAsia="Times New Roman" w:cs="Times New Roman"/>
                <w:spacing w:val="-2"/>
              </w:rPr>
              <w:t xml:space="preserve">при осуществлении закупок, извещения об осуществлении которых размещены в единой информационной системе по 31.08.2025 включительно </w:t>
            </w:r>
          </w:p>
          <w:p/>
        </w:tc>
        <w:tc>
          <w:tcPr>
            <w:tcW w:w="766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 </w:t>
            </w: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о рассчитанной в соответствии с подпунктом «в» пункта 2.4 Правил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 4 к постановлению Правительства Российской Федерации от 23.12.2024 № 1875; </w:t>
            </w: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реквизиты (дата и номер) документа, подтверждающего соответствие производства медицинских изделий требованиям ГОСТ ISO 13485-2017 «Межгосударственный стандарт. Изделия медицинские. Системы менеджмента качества. Требования для целей регулирования» </w:t>
            </w:r>
          </w:p>
          <w:p/>
        </w:tc>
        <w:tc>
          <w:tcPr>
            <w:tcW w:w="57" w:type="dxa"/>
            <w:tcBorders>
              <w:left w:val="single" w:sz="5" w:space="0" w:color="000000"/>
            </w:tcBorders>
          </w:tcPr>
          <w:p/>
        </w:tc>
      </w:tr>
      <w:tr>
        <w:trPr>
          <w:trHeight w:val="2106"/>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766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903"/>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3</w:t>
            </w:r>
          </w:p>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позиции 434-465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(пищевые продукты)</w:t>
            </w:r>
            <w:r>
              <w:rPr>
                <w:sz w:val="20"/>
                <w:szCs w:val="20"/>
                <w:rFonts w:ascii="Times New Roman" w:hAnsi="Times New Roman" w:eastAsia="Times New Roman" w:cs="Times New Roman"/>
                <w:spacing w:val="-2"/>
              </w:rPr>
              <w:t xml:space="preserve"> </w:t>
            </w:r>
          </w:p>
          <w:p/>
        </w:tc>
        <w:tc>
          <w:tcPr>
            <w:tcW w:w="7666" w:type="dxa"/>
            <w:gridSpan w:val="2"/>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указание наименования страны происхождения товара в соответствии с общероссийским классификатором, используемым для идентификации стран мира </w:t>
            </w:r>
            <w:r>
              <w:rPr>
                <w:b/>
                <w:sz w:val="20"/>
                <w:szCs w:val="20"/>
                <w:rFonts w:ascii="Times New Roman" w:hAnsi="Times New Roman" w:eastAsia="Times New Roman" w:cs="Times New Roman"/>
                <w:spacing w:val="-2"/>
              </w:rPr>
              <w:t xml:space="preserve">(такое указание осуществляется в соответствии с подпунктом «б» пункта 2 части 1 статьи 43 Закона № 44-ФЗ)</w:t>
            </w:r>
          </w:p>
          <w:p/>
        </w:tc>
        <w:tc>
          <w:tcPr>
            <w:tcW w:w="57" w:type="dxa"/>
            <w:tcBorders>
              <w:left w:val="single" w:sz="5" w:space="0" w:color="000000"/>
            </w:tcBorders>
          </w:tcPr>
          <w:p/>
        </w:tc>
      </w:tr>
      <w:tr>
        <w:trPr>
          <w:trHeight w:val="344"/>
        </w:trPr>
        <w:tc>
          <w:tcPr>
            <w:tcW w:w="9815" w:type="dxa"/>
            <w:gridSpan w:val="4"/>
            <w:tcBorders>
              <w:top w:val="single" w:sz="5" w:space="0" w:color="000000"/>
            </w:tcBorders>
          </w:tcPr>
          <w:p/>
        </w:tc>
        <w:tc>
          <w:tcPr>
            <w:tcW w:w="57" w:type="dxa"/>
          </w:tcPr>
          <w:p/>
        </w:tc>
      </w:tr>
    </w:tbl>
    <w:sectPr>
      <w:pgSz w:w="11906" w:h="16838"/>
      <w:pgMar w:top="567" w:right="567" w:bottom="517" w:left="1417" w:header="567" w:footer="517" w:gutter="0"/>
    </w:sectPr>
  </w:body>
</w:document>
</file>

<file path=word/fontTable.xml><?xml version="1.0" encoding="utf-8"?>
<w:fonts xmlns:r="http://schemas.openxmlformats.org/officeDocument/2006/relationships" xmlns:w="http://schemas.openxmlformats.org/wordprocessingml/2006/main">
  <w:font w:name="Cambria"/>
  <w:font w:name="Times New Roman"/>
  <w:font w:name="Calibri"/>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2020.5.2 from 26 November 2020</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report_RequiredOffer_(Sti)</dc:title>
  <dc:subject>report_RequiredOffer_(Sti)</dc:subject>
  <dc:creator>sab</dc:creator>
  <cp:keywords/>
  <dc:description>Требования к составу заявок</dc:description>
  <cp:lastModifiedBy>Stimulsoft Reports 2020.5.2 from 26 November 2020</cp:lastModifiedBy>
  <cp:revision>1</cp:revision>
  <dcterms:created xsi:type="dcterms:W3CDTF">2025-04-29T09:48:29Z</dcterms:created>
  <dcterms:modified xsi:type="dcterms:W3CDTF">2025-04-29T09:48:29Z</dcterms:modified>
</cp:coreProperties>
</file>