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E058C" w14:textId="0ED2E296" w:rsidR="003E6D7A" w:rsidRPr="00542CCB" w:rsidRDefault="003E6D7A" w:rsidP="00542CCB">
      <w:pPr>
        <w:jc w:val="center"/>
        <w:rPr>
          <w:rFonts w:ascii="Times New Roman" w:hAnsi="Times New Roman" w:cs="Times New Roman"/>
          <w:b/>
        </w:rPr>
      </w:pPr>
      <w:r w:rsidRPr="003E6D7A">
        <w:rPr>
          <w:rFonts w:ascii="Times New Roman" w:hAnsi="Times New Roman" w:cs="Times New Roman"/>
          <w:b/>
        </w:rPr>
        <w:t>ДОПОЛНИТЕЛЬНАЯ ИНФОРМАЦИЯ</w:t>
      </w:r>
    </w:p>
    <w:tbl>
      <w:tblPr>
        <w:tblW w:w="5475" w:type="pct"/>
        <w:tblInd w:w="-85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708"/>
        <w:gridCol w:w="2978"/>
        <w:gridCol w:w="6547"/>
      </w:tblGrid>
      <w:tr w:rsidR="00DC7778" w:rsidRPr="003B21BD" w14:paraId="300EDF99" w14:textId="77777777" w:rsidTr="00DC7778">
        <w:trPr>
          <w:trHeight w:val="433"/>
        </w:trPr>
        <w:tc>
          <w:tcPr>
            <w:tcW w:w="346" w:type="pct"/>
            <w:tcBorders>
              <w:top w:val="single" w:sz="4" w:space="0" w:color="000001"/>
              <w:left w:val="single" w:sz="4" w:space="0" w:color="000001"/>
              <w:bottom w:val="single" w:sz="4" w:space="0" w:color="000001"/>
              <w:right w:val="single" w:sz="4" w:space="0" w:color="000001"/>
            </w:tcBorders>
          </w:tcPr>
          <w:p w14:paraId="076220E7" w14:textId="77777777" w:rsidR="00DC7778" w:rsidRPr="00DC7778" w:rsidRDefault="00DC7778" w:rsidP="00DC7778">
            <w:pPr>
              <w:pStyle w:val="a3"/>
              <w:numPr>
                <w:ilvl w:val="0"/>
                <w:numId w:val="7"/>
              </w:numPr>
              <w:tabs>
                <w:tab w:val="left" w:pos="183"/>
                <w:tab w:val="left" w:pos="608"/>
              </w:tabs>
              <w:ind w:left="466" w:right="123" w:hanging="283"/>
              <w:jc w:val="both"/>
            </w:pPr>
          </w:p>
        </w:tc>
        <w:tc>
          <w:tcPr>
            <w:tcW w:w="1455" w:type="pc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C93B69" w14:textId="18B58954" w:rsidR="00DC7778" w:rsidRPr="003B21BD" w:rsidRDefault="00DC7778" w:rsidP="00F1528D">
            <w:pPr>
              <w:spacing w:after="0" w:line="240" w:lineRule="auto"/>
              <w:jc w:val="both"/>
              <w:rPr>
                <w:rFonts w:ascii="Times New Roman" w:hAnsi="Times New Roman" w:cs="Times New Roman"/>
              </w:rPr>
            </w:pPr>
            <w:r w:rsidRPr="003B21BD">
              <w:rPr>
                <w:rFonts w:ascii="Times New Roman" w:hAnsi="Times New Roman" w:cs="Times New Roman"/>
              </w:rPr>
              <w:t>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 44-ФЗ</w:t>
            </w:r>
          </w:p>
        </w:tc>
        <w:tc>
          <w:tcPr>
            <w:tcW w:w="3199" w:type="pc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F8FB8B" w14:textId="77777777" w:rsidR="00DC7778" w:rsidRPr="003B21BD" w:rsidRDefault="00DC7778" w:rsidP="00F1528D">
            <w:pPr>
              <w:pStyle w:val="02statia2"/>
              <w:keepLines/>
              <w:spacing w:before="0" w:after="0" w:line="240" w:lineRule="auto"/>
              <w:ind w:left="0" w:firstLine="0"/>
              <w:rPr>
                <w:rFonts w:ascii="Times New Roman" w:hAnsi="Times New Roman"/>
                <w:b/>
                <w:bCs/>
                <w:sz w:val="22"/>
                <w:szCs w:val="22"/>
              </w:rPr>
            </w:pPr>
            <w:r w:rsidRPr="003B21BD">
              <w:rPr>
                <w:rFonts w:ascii="Times New Roman" w:hAnsi="Times New Roman"/>
                <w:b/>
                <w:bCs/>
                <w:sz w:val="22"/>
                <w:szCs w:val="22"/>
              </w:rPr>
              <w:t xml:space="preserve">ФГБУ «НМИЦ им. </w:t>
            </w:r>
            <w:proofErr w:type="spellStart"/>
            <w:r w:rsidRPr="003B21BD">
              <w:rPr>
                <w:rFonts w:ascii="Times New Roman" w:hAnsi="Times New Roman"/>
                <w:b/>
                <w:bCs/>
                <w:sz w:val="22"/>
                <w:szCs w:val="22"/>
              </w:rPr>
              <w:t>ак</w:t>
            </w:r>
            <w:proofErr w:type="spellEnd"/>
            <w:r w:rsidRPr="003B21BD">
              <w:rPr>
                <w:rFonts w:ascii="Times New Roman" w:hAnsi="Times New Roman"/>
                <w:b/>
                <w:bCs/>
                <w:sz w:val="22"/>
                <w:szCs w:val="22"/>
              </w:rPr>
              <w:t>. Е.Н. Мешалкина» Минздрава России</w:t>
            </w:r>
          </w:p>
          <w:p w14:paraId="71D6D983" w14:textId="77777777" w:rsidR="00DC7778" w:rsidRPr="003B21BD" w:rsidRDefault="00DC7778" w:rsidP="00F1528D">
            <w:pPr>
              <w:pStyle w:val="02statia2"/>
              <w:keepLines/>
              <w:spacing w:before="0" w:after="0" w:line="240" w:lineRule="auto"/>
              <w:ind w:left="0" w:firstLine="0"/>
              <w:rPr>
                <w:rFonts w:ascii="Times New Roman" w:hAnsi="Times New Roman"/>
                <w:b/>
                <w:bCs/>
                <w:sz w:val="22"/>
                <w:szCs w:val="22"/>
              </w:rPr>
            </w:pPr>
            <w:r w:rsidRPr="003B21BD">
              <w:rPr>
                <w:rFonts w:ascii="Times New Roman" w:hAnsi="Times New Roman"/>
                <w:b/>
                <w:bCs/>
                <w:sz w:val="22"/>
                <w:szCs w:val="22"/>
              </w:rPr>
              <w:t>ИНН 5408106348 КПП 540801001</w:t>
            </w:r>
          </w:p>
          <w:p w14:paraId="5A636482" w14:textId="77777777" w:rsidR="00DC7778" w:rsidRPr="003B21BD" w:rsidRDefault="00DC7778" w:rsidP="00F1528D">
            <w:pPr>
              <w:pStyle w:val="02statia2"/>
              <w:keepLines/>
              <w:spacing w:before="0" w:after="0" w:line="240" w:lineRule="auto"/>
              <w:ind w:left="0" w:firstLine="0"/>
              <w:rPr>
                <w:rFonts w:ascii="Times New Roman" w:hAnsi="Times New Roman"/>
                <w:b/>
                <w:bCs/>
                <w:sz w:val="22"/>
                <w:szCs w:val="22"/>
              </w:rPr>
            </w:pPr>
            <w:r w:rsidRPr="003B21BD">
              <w:rPr>
                <w:rFonts w:ascii="Times New Roman" w:hAnsi="Times New Roman"/>
                <w:b/>
                <w:bCs/>
                <w:sz w:val="22"/>
                <w:szCs w:val="22"/>
              </w:rPr>
              <w:t xml:space="preserve">УФК по Новосибирской области </w:t>
            </w:r>
          </w:p>
          <w:p w14:paraId="3213BB0D" w14:textId="77777777" w:rsidR="00DC7778" w:rsidRPr="003B21BD" w:rsidRDefault="00DC7778" w:rsidP="00F1528D">
            <w:pPr>
              <w:pStyle w:val="02statia2"/>
              <w:keepLines/>
              <w:spacing w:before="0" w:after="0" w:line="240" w:lineRule="auto"/>
              <w:ind w:left="0" w:firstLine="0"/>
              <w:rPr>
                <w:rFonts w:ascii="Times New Roman" w:hAnsi="Times New Roman"/>
                <w:b/>
                <w:bCs/>
                <w:sz w:val="22"/>
                <w:szCs w:val="22"/>
              </w:rPr>
            </w:pPr>
            <w:r w:rsidRPr="003B21BD">
              <w:rPr>
                <w:rFonts w:ascii="Times New Roman" w:hAnsi="Times New Roman"/>
                <w:b/>
                <w:bCs/>
                <w:sz w:val="22"/>
                <w:szCs w:val="22"/>
              </w:rPr>
              <w:t xml:space="preserve">(ФГБУ «НМИЦ им. </w:t>
            </w:r>
            <w:proofErr w:type="spellStart"/>
            <w:r w:rsidRPr="003B21BD">
              <w:rPr>
                <w:rFonts w:ascii="Times New Roman" w:hAnsi="Times New Roman"/>
                <w:b/>
                <w:bCs/>
                <w:sz w:val="22"/>
                <w:szCs w:val="22"/>
              </w:rPr>
              <w:t>ак</w:t>
            </w:r>
            <w:proofErr w:type="spellEnd"/>
            <w:r w:rsidRPr="003B21BD">
              <w:rPr>
                <w:rFonts w:ascii="Times New Roman" w:hAnsi="Times New Roman"/>
                <w:b/>
                <w:bCs/>
                <w:sz w:val="22"/>
                <w:szCs w:val="22"/>
              </w:rPr>
              <w:t xml:space="preserve">. Е.Н. Мешалкина» Минздрава России л/с 20516X68950) </w:t>
            </w:r>
          </w:p>
          <w:p w14:paraId="39FBA3CF" w14:textId="77777777" w:rsidR="00DC7778" w:rsidRPr="003B21BD" w:rsidRDefault="00DC7778" w:rsidP="00F1528D">
            <w:pPr>
              <w:pStyle w:val="02statia2"/>
              <w:keepLines/>
              <w:spacing w:before="0" w:after="0" w:line="240" w:lineRule="auto"/>
              <w:ind w:left="0" w:firstLine="0"/>
              <w:rPr>
                <w:rFonts w:ascii="Times New Roman" w:hAnsi="Times New Roman"/>
                <w:b/>
                <w:bCs/>
                <w:sz w:val="22"/>
                <w:szCs w:val="22"/>
              </w:rPr>
            </w:pPr>
            <w:r w:rsidRPr="003B21BD">
              <w:rPr>
                <w:rFonts w:ascii="Times New Roman" w:hAnsi="Times New Roman"/>
                <w:b/>
                <w:bCs/>
                <w:sz w:val="22"/>
                <w:szCs w:val="22"/>
              </w:rPr>
              <w:t>Банк получателя:</w:t>
            </w:r>
          </w:p>
          <w:p w14:paraId="05C81DFC" w14:textId="77777777" w:rsidR="00DC7778" w:rsidRPr="003B21BD" w:rsidRDefault="00DC7778" w:rsidP="00F1528D">
            <w:pPr>
              <w:pStyle w:val="02statia2"/>
              <w:keepLines/>
              <w:spacing w:before="0" w:after="0" w:line="240" w:lineRule="auto"/>
              <w:ind w:left="0" w:firstLine="0"/>
              <w:rPr>
                <w:rFonts w:ascii="Times New Roman" w:hAnsi="Times New Roman"/>
                <w:b/>
                <w:bCs/>
                <w:sz w:val="22"/>
                <w:szCs w:val="22"/>
              </w:rPr>
            </w:pPr>
            <w:r w:rsidRPr="003B21BD">
              <w:rPr>
                <w:rFonts w:ascii="Times New Roman" w:hAnsi="Times New Roman"/>
                <w:b/>
                <w:bCs/>
                <w:sz w:val="22"/>
                <w:szCs w:val="22"/>
              </w:rPr>
              <w:t>СИБИРСКОЕ ГУ БАНКА РОССИИ// УФК по Новосибирской области г. Новосибирск</w:t>
            </w:r>
          </w:p>
          <w:p w14:paraId="69330198" w14:textId="77777777" w:rsidR="00DC7778" w:rsidRPr="003B21BD" w:rsidRDefault="00DC7778" w:rsidP="00F1528D">
            <w:pPr>
              <w:pStyle w:val="02statia2"/>
              <w:keepLines/>
              <w:spacing w:before="0" w:after="0" w:line="240" w:lineRule="auto"/>
              <w:ind w:left="0" w:firstLine="0"/>
              <w:rPr>
                <w:rFonts w:ascii="Times New Roman" w:hAnsi="Times New Roman"/>
                <w:b/>
                <w:bCs/>
                <w:sz w:val="22"/>
                <w:szCs w:val="22"/>
              </w:rPr>
            </w:pPr>
            <w:r w:rsidRPr="003B21BD">
              <w:rPr>
                <w:rFonts w:ascii="Times New Roman" w:hAnsi="Times New Roman"/>
                <w:b/>
                <w:bCs/>
                <w:sz w:val="22"/>
                <w:szCs w:val="22"/>
              </w:rPr>
              <w:t>БИК 015004950</w:t>
            </w:r>
          </w:p>
          <w:p w14:paraId="64D11522" w14:textId="77777777" w:rsidR="00DC7778" w:rsidRPr="003B21BD" w:rsidRDefault="00DC7778" w:rsidP="00F1528D">
            <w:pPr>
              <w:pStyle w:val="02statia2"/>
              <w:keepLines/>
              <w:spacing w:before="0" w:after="0" w:line="240" w:lineRule="auto"/>
              <w:ind w:left="0" w:firstLine="0"/>
              <w:rPr>
                <w:rFonts w:ascii="Times New Roman" w:hAnsi="Times New Roman"/>
                <w:b/>
                <w:bCs/>
                <w:sz w:val="22"/>
                <w:szCs w:val="22"/>
              </w:rPr>
            </w:pPr>
            <w:r w:rsidRPr="003B21BD">
              <w:rPr>
                <w:rFonts w:ascii="Times New Roman" w:hAnsi="Times New Roman"/>
                <w:b/>
                <w:bCs/>
                <w:sz w:val="22"/>
                <w:szCs w:val="22"/>
              </w:rPr>
              <w:t>К/с 40102810445370000043</w:t>
            </w:r>
          </w:p>
          <w:p w14:paraId="699710D5" w14:textId="77777777" w:rsidR="00DC7778" w:rsidRDefault="00DC7778" w:rsidP="00F1528D">
            <w:pPr>
              <w:pStyle w:val="02statia2"/>
              <w:keepLines/>
              <w:spacing w:before="0" w:after="0" w:line="240" w:lineRule="auto"/>
              <w:ind w:left="0" w:firstLine="0"/>
              <w:rPr>
                <w:rFonts w:ascii="Times New Roman" w:hAnsi="Times New Roman"/>
                <w:b/>
                <w:bCs/>
                <w:sz w:val="22"/>
                <w:szCs w:val="22"/>
              </w:rPr>
            </w:pPr>
            <w:r w:rsidRPr="003B21BD">
              <w:rPr>
                <w:rFonts w:ascii="Times New Roman" w:hAnsi="Times New Roman"/>
                <w:b/>
                <w:bCs/>
                <w:sz w:val="22"/>
                <w:szCs w:val="22"/>
              </w:rPr>
              <w:t xml:space="preserve">Р/с 03214643000000015100   </w:t>
            </w:r>
          </w:p>
          <w:p w14:paraId="26EB6859" w14:textId="04D7E5C9" w:rsidR="00DB1FAE" w:rsidRPr="003B21BD" w:rsidRDefault="00DB1FAE" w:rsidP="00F1528D">
            <w:pPr>
              <w:pStyle w:val="02statia2"/>
              <w:keepLines/>
              <w:spacing w:before="0" w:after="0" w:line="240" w:lineRule="auto"/>
              <w:ind w:left="0" w:firstLine="0"/>
              <w:rPr>
                <w:rFonts w:ascii="Times New Roman" w:hAnsi="Times New Roman"/>
                <w:b/>
                <w:bCs/>
                <w:sz w:val="22"/>
                <w:szCs w:val="22"/>
              </w:rPr>
            </w:pPr>
          </w:p>
        </w:tc>
      </w:tr>
      <w:tr w:rsidR="00DC7778" w:rsidRPr="003B21BD" w14:paraId="1FD2AD97" w14:textId="77777777" w:rsidTr="00DC7778">
        <w:trPr>
          <w:trHeight w:val="433"/>
        </w:trPr>
        <w:tc>
          <w:tcPr>
            <w:tcW w:w="346" w:type="pct"/>
            <w:tcBorders>
              <w:top w:val="single" w:sz="4" w:space="0" w:color="000001"/>
              <w:left w:val="single" w:sz="4" w:space="0" w:color="000001"/>
              <w:bottom w:val="single" w:sz="4" w:space="0" w:color="000001"/>
              <w:right w:val="single" w:sz="4" w:space="0" w:color="000001"/>
            </w:tcBorders>
          </w:tcPr>
          <w:p w14:paraId="2022B42D" w14:textId="77777777" w:rsidR="00DC7778" w:rsidRPr="00DC7778" w:rsidRDefault="00DC7778" w:rsidP="00DC7778">
            <w:pPr>
              <w:pStyle w:val="a3"/>
              <w:numPr>
                <w:ilvl w:val="0"/>
                <w:numId w:val="7"/>
              </w:numPr>
              <w:tabs>
                <w:tab w:val="left" w:pos="183"/>
                <w:tab w:val="left" w:pos="608"/>
              </w:tabs>
              <w:ind w:left="466" w:right="123" w:hanging="283"/>
              <w:jc w:val="both"/>
            </w:pPr>
          </w:p>
        </w:tc>
        <w:tc>
          <w:tcPr>
            <w:tcW w:w="1455" w:type="pc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6A3748" w14:textId="5A94F909" w:rsidR="00DC7778" w:rsidRPr="003B21BD" w:rsidRDefault="00DC7778" w:rsidP="00F1528D">
            <w:pPr>
              <w:spacing w:after="0" w:line="240" w:lineRule="auto"/>
              <w:jc w:val="both"/>
              <w:rPr>
                <w:rFonts w:ascii="Times New Roman" w:hAnsi="Times New Roman" w:cs="Times New Roman"/>
              </w:rPr>
            </w:pPr>
            <w:r w:rsidRPr="003B21BD">
              <w:rPr>
                <w:rFonts w:ascii="Times New Roman" w:hAnsi="Times New Roman" w:cs="Times New Roman"/>
              </w:rPr>
              <w:t>Информация о возможности заказчика заключить контракты, указанные в части 10 статьи 34 Закона 44-ФЗ, с несколькими участниками закупки с указанием количества указанных контрактов</w:t>
            </w:r>
          </w:p>
        </w:tc>
        <w:tc>
          <w:tcPr>
            <w:tcW w:w="3199" w:type="pc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D7B1F3" w14:textId="77777777" w:rsidR="00DC7778" w:rsidRPr="003B21BD" w:rsidRDefault="00DC7778" w:rsidP="00F1528D">
            <w:pPr>
              <w:spacing w:after="0" w:line="240" w:lineRule="auto"/>
              <w:jc w:val="both"/>
              <w:rPr>
                <w:rFonts w:ascii="Times New Roman" w:hAnsi="Times New Roman" w:cs="Times New Roman"/>
              </w:rPr>
            </w:pPr>
            <w:r w:rsidRPr="003B21BD">
              <w:rPr>
                <w:rFonts w:ascii="Times New Roman" w:hAnsi="Times New Roman" w:cs="Times New Roman"/>
                <w:bCs/>
              </w:rPr>
              <w:t xml:space="preserve">Заключение контрактов с несколькими участниками </w:t>
            </w:r>
            <w:r>
              <w:rPr>
                <w:rFonts w:ascii="Times New Roman" w:hAnsi="Times New Roman" w:cs="Times New Roman"/>
              </w:rPr>
              <w:t>закупки</w:t>
            </w:r>
            <w:r w:rsidRPr="003B21BD">
              <w:rPr>
                <w:rFonts w:ascii="Times New Roman" w:hAnsi="Times New Roman" w:cs="Times New Roman"/>
                <w:bCs/>
              </w:rPr>
              <w:t xml:space="preserve"> не предусмотрено.</w:t>
            </w:r>
          </w:p>
        </w:tc>
      </w:tr>
      <w:tr w:rsidR="00DC7778" w:rsidRPr="003B21BD" w14:paraId="3C9C77BA" w14:textId="77777777" w:rsidTr="00DC7778">
        <w:trPr>
          <w:trHeight w:val="433"/>
        </w:trPr>
        <w:tc>
          <w:tcPr>
            <w:tcW w:w="346" w:type="pct"/>
            <w:tcBorders>
              <w:top w:val="single" w:sz="4" w:space="0" w:color="000001"/>
              <w:left w:val="single" w:sz="4" w:space="0" w:color="000001"/>
              <w:bottom w:val="single" w:sz="4" w:space="0" w:color="000001"/>
              <w:right w:val="single" w:sz="4" w:space="0" w:color="000001"/>
            </w:tcBorders>
          </w:tcPr>
          <w:p w14:paraId="7A53CF40" w14:textId="77777777" w:rsidR="00DC7778" w:rsidRPr="00DC7778" w:rsidRDefault="00DC7778" w:rsidP="00DC7778">
            <w:pPr>
              <w:pStyle w:val="a3"/>
              <w:numPr>
                <w:ilvl w:val="0"/>
                <w:numId w:val="7"/>
              </w:numPr>
              <w:tabs>
                <w:tab w:val="left" w:pos="183"/>
                <w:tab w:val="left" w:pos="608"/>
              </w:tabs>
              <w:ind w:left="466" w:right="123" w:hanging="283"/>
              <w:rPr>
                <w:bCs/>
              </w:rPr>
            </w:pPr>
          </w:p>
        </w:tc>
        <w:tc>
          <w:tcPr>
            <w:tcW w:w="1455" w:type="pc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32D1E1" w14:textId="6E66D705" w:rsidR="00DC7778" w:rsidRPr="003B21BD" w:rsidRDefault="00DC7778" w:rsidP="00F1528D">
            <w:pPr>
              <w:spacing w:after="0" w:line="240" w:lineRule="auto"/>
              <w:rPr>
                <w:rFonts w:ascii="Times New Roman" w:hAnsi="Times New Roman" w:cs="Times New Roman"/>
                <w:bCs/>
                <w:highlight w:val="yellow"/>
              </w:rPr>
            </w:pPr>
            <w:r w:rsidRPr="00546055">
              <w:rPr>
                <w:rFonts w:ascii="Times New Roman" w:hAnsi="Times New Roman" w:cs="Times New Roman"/>
                <w:bCs/>
              </w:rPr>
              <w:t>Порядок внесения денежных средств в качестве обеспечения заявки на участие в закупке, а также условия гарантии</w:t>
            </w:r>
          </w:p>
        </w:tc>
        <w:tc>
          <w:tcPr>
            <w:tcW w:w="3199" w:type="pc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AA8E50" w14:textId="77777777" w:rsidR="00DC7778" w:rsidRPr="003B21BD" w:rsidRDefault="00DC7778" w:rsidP="00F1528D">
            <w:pPr>
              <w:spacing w:after="0" w:line="240" w:lineRule="auto"/>
              <w:jc w:val="both"/>
              <w:rPr>
                <w:rFonts w:ascii="Times New Roman" w:hAnsi="Times New Roman" w:cs="Times New Roman"/>
              </w:rPr>
            </w:pPr>
            <w:r>
              <w:rPr>
                <w:rFonts w:ascii="Times New Roman" w:hAnsi="Times New Roman" w:cs="Times New Roman"/>
              </w:rPr>
              <w:t>В</w:t>
            </w:r>
            <w:r w:rsidRPr="003B6FE5">
              <w:rPr>
                <w:rFonts w:ascii="Times New Roman" w:hAnsi="Times New Roman" w:cs="Times New Roman"/>
              </w:rPr>
              <w:t xml:space="preserve"> случае если в извещении о проведении закупки установлены</w:t>
            </w:r>
            <w:r>
              <w:rPr>
                <w:rFonts w:ascii="Times New Roman" w:hAnsi="Times New Roman" w:cs="Times New Roman"/>
              </w:rPr>
              <w:t xml:space="preserve"> требования об обеспечении</w:t>
            </w:r>
            <w:r w:rsidRPr="003B6FE5">
              <w:rPr>
                <w:rFonts w:ascii="Times New Roman" w:hAnsi="Times New Roman" w:cs="Times New Roman"/>
              </w:rPr>
              <w:t xml:space="preserve"> заявок на участие в закупке</w:t>
            </w:r>
            <w:r>
              <w:rPr>
                <w:rFonts w:ascii="Times New Roman" w:hAnsi="Times New Roman" w:cs="Times New Roman"/>
              </w:rPr>
              <w:t xml:space="preserve">, </w:t>
            </w:r>
            <w:r w:rsidRPr="003B6FE5">
              <w:rPr>
                <w:rFonts w:ascii="Times New Roman" w:hAnsi="Times New Roman" w:cs="Times New Roman"/>
              </w:rPr>
              <w:t xml:space="preserve"> </w:t>
            </w:r>
            <w:r>
              <w:rPr>
                <w:rFonts w:ascii="Times New Roman" w:hAnsi="Times New Roman" w:cs="Times New Roman"/>
              </w:rPr>
              <w:t>о</w:t>
            </w:r>
            <w:r w:rsidRPr="003B21BD">
              <w:rPr>
                <w:rFonts w:ascii="Times New Roman" w:hAnsi="Times New Roman" w:cs="Times New Roman"/>
              </w:rPr>
              <w:t xml:space="preserve">беспечение заявки на участие в </w:t>
            </w:r>
            <w:r>
              <w:rPr>
                <w:rFonts w:ascii="Times New Roman" w:hAnsi="Times New Roman" w:cs="Times New Roman"/>
              </w:rPr>
              <w:t>закупке</w:t>
            </w:r>
            <w:r w:rsidRPr="003B21BD">
              <w:rPr>
                <w:rFonts w:ascii="Times New Roman" w:hAnsi="Times New Roman" w:cs="Times New Roman"/>
              </w:rPr>
              <w:t xml:space="preserve"> может предоставляться участником </w:t>
            </w:r>
            <w:r>
              <w:rPr>
                <w:rFonts w:ascii="Times New Roman" w:hAnsi="Times New Roman" w:cs="Times New Roman"/>
              </w:rPr>
              <w:t>закупки</w:t>
            </w:r>
            <w:r w:rsidRPr="003B21BD">
              <w:rPr>
                <w:rFonts w:ascii="Times New Roman" w:hAnsi="Times New Roman" w:cs="Times New Roman"/>
              </w:rPr>
              <w:t xml:space="preserve"> в виде денежных средств или независимой гарантии, предусмотренной статьей 45 Закона 44-ФЗ. </w:t>
            </w:r>
          </w:p>
          <w:p w14:paraId="2D226A48" w14:textId="77777777" w:rsidR="00DC7778" w:rsidRDefault="00DC7778" w:rsidP="00F1528D">
            <w:pPr>
              <w:spacing w:after="0" w:line="240" w:lineRule="auto"/>
              <w:jc w:val="both"/>
              <w:rPr>
                <w:rFonts w:ascii="Times New Roman" w:hAnsi="Times New Roman" w:cs="Times New Roman"/>
              </w:rPr>
            </w:pPr>
            <w:r w:rsidRPr="003B21BD">
              <w:rPr>
                <w:rFonts w:ascii="Times New Roman" w:hAnsi="Times New Roman" w:cs="Times New Roman"/>
              </w:rPr>
              <w:t xml:space="preserve">Выбор способа обеспечения осуществляется участником </w:t>
            </w:r>
            <w:r>
              <w:rPr>
                <w:rFonts w:ascii="Times New Roman" w:hAnsi="Times New Roman" w:cs="Times New Roman"/>
              </w:rPr>
              <w:t>закупки</w:t>
            </w:r>
            <w:r w:rsidRPr="003B21BD">
              <w:rPr>
                <w:rFonts w:ascii="Times New Roman" w:hAnsi="Times New Roman" w:cs="Times New Roman"/>
              </w:rPr>
              <w:t xml:space="preserve"> самостоятельно.</w:t>
            </w:r>
          </w:p>
          <w:p w14:paraId="1C54101E" w14:textId="77777777" w:rsidR="00DC7778" w:rsidRPr="003E6D7A" w:rsidRDefault="00DC7778" w:rsidP="00F1528D">
            <w:pPr>
              <w:spacing w:after="0" w:line="240" w:lineRule="auto"/>
              <w:jc w:val="both"/>
              <w:rPr>
                <w:rFonts w:ascii="Times New Roman" w:hAnsi="Times New Roman" w:cs="Times New Roman"/>
                <w:b/>
              </w:rPr>
            </w:pPr>
            <w:r>
              <w:rPr>
                <w:rFonts w:ascii="Times New Roman" w:hAnsi="Times New Roman" w:cs="Times New Roman"/>
              </w:rPr>
              <w:t xml:space="preserve">Срок действия независимой гарантии должен составлять </w:t>
            </w:r>
            <w:r w:rsidRPr="005141D5">
              <w:rPr>
                <w:rFonts w:ascii="Times New Roman" w:hAnsi="Times New Roman" w:cs="Times New Roman"/>
                <w:b/>
              </w:rPr>
              <w:t>не менее месяца с даты окончания срока подачи заявок</w:t>
            </w:r>
            <w:r>
              <w:rPr>
                <w:rFonts w:ascii="Times New Roman" w:hAnsi="Times New Roman" w:cs="Times New Roman"/>
                <w:b/>
              </w:rPr>
              <w:t>.</w:t>
            </w:r>
          </w:p>
          <w:p w14:paraId="5FFB1F12" w14:textId="77777777" w:rsidR="00DC7778" w:rsidRDefault="00DC7778" w:rsidP="00F1528D">
            <w:pPr>
              <w:spacing w:after="0" w:line="240" w:lineRule="auto"/>
              <w:jc w:val="both"/>
              <w:rPr>
                <w:rFonts w:ascii="Times New Roman" w:hAnsi="Times New Roman" w:cs="Times New Roman"/>
                <w:i/>
              </w:rPr>
            </w:pPr>
            <w:r w:rsidRPr="003B21BD">
              <w:rPr>
                <w:rFonts w:ascii="Times New Roman" w:hAnsi="Times New Roman" w:cs="Times New Roman"/>
                <w:i/>
              </w:rPr>
              <w:t>Государственные, муниципальные учреждения не предоставляют обеспечение подаваемых ими заявок на участие в закупках</w:t>
            </w:r>
          </w:p>
          <w:p w14:paraId="3FE3DD04" w14:textId="77777777" w:rsidR="00DC7778" w:rsidRPr="003B21BD" w:rsidRDefault="00DC7778" w:rsidP="00F1528D">
            <w:pPr>
              <w:spacing w:after="0" w:line="240" w:lineRule="auto"/>
              <w:jc w:val="both"/>
              <w:rPr>
                <w:rFonts w:ascii="Times New Roman" w:hAnsi="Times New Roman" w:cs="Times New Roman"/>
                <w:b/>
                <w:bCs/>
                <w:i/>
                <w:highlight w:val="yellow"/>
              </w:rPr>
            </w:pPr>
          </w:p>
          <w:p w14:paraId="23A2B660" w14:textId="77777777" w:rsidR="00DC7778" w:rsidRDefault="00DC7778" w:rsidP="00F1528D">
            <w:pPr>
              <w:autoSpaceDE w:val="0"/>
              <w:autoSpaceDN w:val="0"/>
              <w:adjustRightInd w:val="0"/>
              <w:spacing w:after="0" w:line="240" w:lineRule="auto"/>
              <w:jc w:val="both"/>
              <w:rPr>
                <w:rFonts w:ascii="Times New Roman" w:hAnsi="Times New Roman" w:cs="Times New Roman"/>
                <w:bCs/>
              </w:rPr>
            </w:pPr>
            <w:r w:rsidRPr="00DF0811">
              <w:rPr>
                <w:rFonts w:ascii="Times New Roman" w:hAnsi="Times New Roman" w:cs="Times New Roman"/>
              </w:rPr>
              <w:t xml:space="preserve">Обеспечение заявки на участие в </w:t>
            </w:r>
            <w:r>
              <w:rPr>
                <w:rFonts w:ascii="Times New Roman" w:hAnsi="Times New Roman" w:cs="Times New Roman"/>
              </w:rPr>
              <w:t xml:space="preserve"> </w:t>
            </w:r>
            <w:r w:rsidRPr="00283651">
              <w:rPr>
                <w:rFonts w:ascii="Times New Roman" w:hAnsi="Times New Roman" w:cs="Times New Roman"/>
              </w:rPr>
              <w:t>закупке путем внесения денежных средств осуществляется</w:t>
            </w:r>
            <w:r w:rsidRPr="00DF0811">
              <w:rPr>
                <w:rFonts w:ascii="Times New Roman" w:hAnsi="Times New Roman" w:cs="Times New Roman"/>
              </w:rPr>
              <w:t xml:space="preserve"> </w:t>
            </w:r>
            <w:r w:rsidRPr="005141D5">
              <w:rPr>
                <w:rFonts w:ascii="Times New Roman" w:hAnsi="Times New Roman" w:cs="Times New Roman"/>
                <w:bCs/>
              </w:rPr>
              <w:t xml:space="preserve">путем блокирования денежных средств на банковском счете, открытом таким участником в банке, включенном в </w:t>
            </w:r>
            <w:hyperlink r:id="rId8" w:history="1">
              <w:r w:rsidRPr="005141D5">
                <w:rPr>
                  <w:rFonts w:ascii="Times New Roman" w:hAnsi="Times New Roman" w:cs="Times New Roman"/>
                  <w:bCs/>
                  <w:color w:val="0000FF"/>
                </w:rPr>
                <w:t>перечень</w:t>
              </w:r>
            </w:hyperlink>
            <w:r w:rsidRPr="005141D5">
              <w:rPr>
                <w:rFonts w:ascii="Times New Roman" w:hAnsi="Times New Roman" w:cs="Times New Roman"/>
                <w:bCs/>
              </w:rPr>
              <w:t xml:space="preserve">, утвержденный Правительством Российской Федерации (далее - специальный счет), для их перевода в случаях, предусмотренных </w:t>
            </w:r>
            <w:r w:rsidRPr="00E43E0B">
              <w:rPr>
                <w:rFonts w:ascii="Times New Roman" w:hAnsi="Times New Roman" w:cs="Times New Roman"/>
              </w:rPr>
              <w:t>Законом 44-ФЗ</w:t>
            </w:r>
            <w:r w:rsidRPr="005141D5">
              <w:rPr>
                <w:rFonts w:ascii="Times New Roman" w:hAnsi="Times New Roman" w:cs="Times New Roman"/>
                <w:bCs/>
              </w:rPr>
              <w:t xml:space="preserve">,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w:t>
            </w:r>
          </w:p>
          <w:p w14:paraId="343B4523" w14:textId="77777777" w:rsidR="00DC7778" w:rsidRDefault="00DC7778" w:rsidP="00F1528D">
            <w:pPr>
              <w:spacing w:after="0" w:line="240" w:lineRule="auto"/>
              <w:jc w:val="both"/>
              <w:rPr>
                <w:rFonts w:ascii="Times New Roman" w:hAnsi="Times New Roman" w:cs="Times New Roman"/>
                <w:bCs/>
              </w:rPr>
            </w:pPr>
            <w:r w:rsidRPr="005141D5">
              <w:rPr>
                <w:rFonts w:ascii="Times New Roman" w:hAnsi="Times New Roman" w:cs="Times New Roman"/>
                <w:bCs/>
              </w:rPr>
              <w:t>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Pr>
                <w:rFonts w:ascii="Times New Roman" w:hAnsi="Times New Roman" w:cs="Times New Roman"/>
                <w:bCs/>
              </w:rPr>
              <w:t>.</w:t>
            </w:r>
          </w:p>
          <w:p w14:paraId="60D81565" w14:textId="77777777" w:rsidR="00DC7778" w:rsidRPr="003E6D7A" w:rsidRDefault="00DC7778" w:rsidP="00F1528D">
            <w:pPr>
              <w:spacing w:after="0" w:line="240" w:lineRule="auto"/>
              <w:jc w:val="both"/>
              <w:rPr>
                <w:rFonts w:ascii="Times New Roman" w:hAnsi="Times New Roman" w:cs="Times New Roman"/>
                <w:b/>
                <w:bCs/>
              </w:rPr>
            </w:pPr>
            <w:r w:rsidRPr="003E6D7A">
              <w:rPr>
                <w:rFonts w:ascii="Times New Roman" w:hAnsi="Times New Roman" w:cs="Times New Roman"/>
                <w:b/>
                <w:bCs/>
              </w:rPr>
              <w:t>Условия независимой гарантии:</w:t>
            </w:r>
          </w:p>
          <w:p w14:paraId="5CB9C10C" w14:textId="77777777" w:rsidR="00DC7778" w:rsidRPr="00DF0811" w:rsidRDefault="00DC7778" w:rsidP="00F1528D">
            <w:pPr>
              <w:pStyle w:val="a5"/>
              <w:jc w:val="both"/>
              <w:rPr>
                <w:rFonts w:ascii="Times New Roman" w:hAnsi="Times New Roman"/>
              </w:rPr>
            </w:pPr>
            <w:r w:rsidRPr="00DF0811">
              <w:rPr>
                <w:rFonts w:ascii="Times New Roman" w:hAnsi="Times New Roman"/>
              </w:rPr>
              <w:t>Независимая гарантия может быть выдана:</w:t>
            </w:r>
          </w:p>
          <w:p w14:paraId="5D2FBEC7" w14:textId="77777777" w:rsidR="00DC7778" w:rsidRPr="00DF0811" w:rsidRDefault="00DC7778" w:rsidP="00F1528D">
            <w:pPr>
              <w:pStyle w:val="a5"/>
              <w:jc w:val="both"/>
              <w:rPr>
                <w:rFonts w:ascii="Times New Roman" w:hAnsi="Times New Roman"/>
              </w:rPr>
            </w:pPr>
            <w:r w:rsidRPr="00DF0811">
              <w:rPr>
                <w:rFonts w:ascii="Times New Roman" w:hAnsi="Times New Roman"/>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Закона 44-ФЗ;</w:t>
            </w:r>
          </w:p>
          <w:p w14:paraId="0BB6B4D5" w14:textId="77777777" w:rsidR="00DC7778" w:rsidRPr="00DF0811" w:rsidRDefault="00DC7778" w:rsidP="00F1528D">
            <w:pPr>
              <w:pStyle w:val="a5"/>
              <w:jc w:val="both"/>
              <w:rPr>
                <w:rFonts w:ascii="Times New Roman" w:hAnsi="Times New Roman"/>
              </w:rPr>
            </w:pPr>
            <w:r w:rsidRPr="00DF0811">
              <w:rPr>
                <w:rFonts w:ascii="Times New Roman" w:hAnsi="Times New Roman"/>
              </w:rPr>
              <w:t xml:space="preserve">2) государственной корпорацией развития </w:t>
            </w:r>
            <w:r>
              <w:rPr>
                <w:rFonts w:ascii="Times New Roman" w:hAnsi="Times New Roman"/>
              </w:rPr>
              <w:t>«</w:t>
            </w:r>
            <w:r w:rsidRPr="00DF0811">
              <w:rPr>
                <w:rFonts w:ascii="Times New Roman" w:hAnsi="Times New Roman"/>
              </w:rPr>
              <w:t>ВЭБ.РФ</w:t>
            </w:r>
            <w:r>
              <w:rPr>
                <w:rFonts w:ascii="Times New Roman" w:hAnsi="Times New Roman"/>
              </w:rPr>
              <w:t>»</w:t>
            </w:r>
            <w:r w:rsidRPr="00DF0811">
              <w:rPr>
                <w:rFonts w:ascii="Times New Roman" w:hAnsi="Times New Roman"/>
              </w:rPr>
              <w:t>;</w:t>
            </w:r>
          </w:p>
          <w:p w14:paraId="7B440F5D" w14:textId="40BE02D2" w:rsidR="00DC7778" w:rsidRPr="00DF0811" w:rsidRDefault="00DC7778" w:rsidP="00F1528D">
            <w:pPr>
              <w:pStyle w:val="a5"/>
              <w:jc w:val="both"/>
              <w:rPr>
                <w:rFonts w:ascii="Times New Roman" w:hAnsi="Times New Roman"/>
              </w:rPr>
            </w:pPr>
            <w:r w:rsidRPr="00DF0811">
              <w:rPr>
                <w:rFonts w:ascii="Times New Roman" w:hAnsi="Times New Roman"/>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w:t>
            </w:r>
            <w:r w:rsidR="000E2080">
              <w:rPr>
                <w:rFonts w:ascii="Times New Roman" w:hAnsi="Times New Roman"/>
              </w:rPr>
              <w:t>№</w:t>
            </w:r>
            <w:r w:rsidRPr="00DF0811">
              <w:rPr>
                <w:rFonts w:ascii="Times New Roman" w:hAnsi="Times New Roman"/>
              </w:rPr>
              <w:t xml:space="preserve"> 209-ФЗ </w:t>
            </w:r>
            <w:r>
              <w:rPr>
                <w:rFonts w:ascii="Times New Roman" w:hAnsi="Times New Roman"/>
              </w:rPr>
              <w:t>«</w:t>
            </w:r>
            <w:r w:rsidRPr="00DF0811">
              <w:rPr>
                <w:rFonts w:ascii="Times New Roman" w:hAnsi="Times New Roman"/>
              </w:rPr>
              <w:t xml:space="preserve">О развитии малого и среднего </w:t>
            </w:r>
            <w:r w:rsidRPr="00DF0811">
              <w:rPr>
                <w:rFonts w:ascii="Times New Roman" w:hAnsi="Times New Roman"/>
              </w:rPr>
              <w:lastRenderedPageBreak/>
              <w:t>предпринимательства в Российской Федерации</w:t>
            </w:r>
            <w:r>
              <w:rPr>
                <w:rFonts w:ascii="Times New Roman" w:hAnsi="Times New Roman"/>
              </w:rPr>
              <w:t>»</w:t>
            </w:r>
            <w:r w:rsidRPr="00DF0811">
              <w:rPr>
                <w:rFonts w:ascii="Times New Roman" w:hAnsi="Times New Roman"/>
              </w:rPr>
              <w:t>, соответствующими требованиям, установленным Правительством Российской Федерации, и включенными в перечень, предусмотренный частью 1.7 статьи 45 Закона 44-ФЗ (при осуществлении закупок в соответствии с пунктом 1 части 1 статьи 30 Закона 44-ФЗ);</w:t>
            </w:r>
          </w:p>
          <w:p w14:paraId="7D0E67A1" w14:textId="77777777" w:rsidR="00DC7778" w:rsidRDefault="00DC7778" w:rsidP="00F1528D">
            <w:pPr>
              <w:pStyle w:val="a5"/>
              <w:jc w:val="both"/>
              <w:rPr>
                <w:rFonts w:ascii="Times New Roman" w:hAnsi="Times New Roman"/>
              </w:rPr>
            </w:pPr>
            <w:r w:rsidRPr="00DF0811">
              <w:rPr>
                <w:rFonts w:ascii="Times New Roman" w:hAnsi="Times New Roman"/>
              </w:rPr>
              <w:t xml:space="preserve">4) Евразийским банком развития (если участник </w:t>
            </w:r>
            <w:r>
              <w:rPr>
                <w:rFonts w:ascii="Times New Roman" w:hAnsi="Times New Roman"/>
              </w:rPr>
              <w:t>закупки</w:t>
            </w:r>
            <w:r w:rsidRPr="00DF0811">
              <w:rPr>
                <w:rFonts w:ascii="Times New Roman" w:hAnsi="Times New Roman"/>
              </w:rPr>
              <w:t xml:space="preserve">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w:t>
            </w:r>
            <w:r>
              <w:rPr>
                <w:rFonts w:ascii="Times New Roman" w:hAnsi="Times New Roman"/>
              </w:rPr>
              <w:t>лючением Российской Федерации).</w:t>
            </w:r>
          </w:p>
          <w:p w14:paraId="2CAA8DA4" w14:textId="77777777" w:rsidR="00DC7778" w:rsidRPr="00DF0811" w:rsidRDefault="00DC7778" w:rsidP="00F1528D">
            <w:pPr>
              <w:pStyle w:val="a5"/>
              <w:jc w:val="both"/>
              <w:rPr>
                <w:rFonts w:ascii="Times New Roman" w:hAnsi="Times New Roman"/>
              </w:rPr>
            </w:pPr>
          </w:p>
          <w:p w14:paraId="260893B0" w14:textId="77777777" w:rsidR="00DC7778" w:rsidRPr="00DF0811" w:rsidRDefault="00DC7778" w:rsidP="00F1528D">
            <w:pPr>
              <w:pStyle w:val="a5"/>
              <w:tabs>
                <w:tab w:val="left" w:pos="271"/>
              </w:tabs>
              <w:jc w:val="both"/>
              <w:rPr>
                <w:rFonts w:ascii="Times New Roman" w:hAnsi="Times New Roman"/>
              </w:rPr>
            </w:pPr>
            <w:r w:rsidRPr="00DF0811">
              <w:rPr>
                <w:rFonts w:ascii="Times New Roman" w:hAnsi="Times New Roman"/>
              </w:rPr>
              <w:t>Независимая гарантия должна быть безотзывной и должна содержать:</w:t>
            </w:r>
          </w:p>
          <w:p w14:paraId="321688E0" w14:textId="77777777" w:rsidR="00DC7778" w:rsidRDefault="00DC7778" w:rsidP="00F1528D">
            <w:p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rPr>
              <w:t xml:space="preserve">1) сумму независимой гарантии, подлежащую уплате гарантом заказчику в установленных </w:t>
            </w:r>
            <w:hyperlink r:id="rId9" w:history="1">
              <w:r>
                <w:rPr>
                  <w:rFonts w:ascii="Times New Roman" w:hAnsi="Times New Roman" w:cs="Times New Roman"/>
                  <w:color w:val="0000FF"/>
                </w:rPr>
                <w:t>статьей 44</w:t>
              </w:r>
            </w:hyperlink>
            <w:r>
              <w:rPr>
                <w:rFonts w:ascii="Times New Roman" w:hAnsi="Times New Roman" w:cs="Times New Roman"/>
              </w:rPr>
              <w:t xml:space="preserve"> Закона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0" w:history="1">
              <w:r>
                <w:rPr>
                  <w:rFonts w:ascii="Times New Roman" w:hAnsi="Times New Roman" w:cs="Times New Roman"/>
                  <w:color w:val="0000FF"/>
                </w:rPr>
                <w:t>статьей 96</w:t>
              </w:r>
            </w:hyperlink>
            <w:r>
              <w:rPr>
                <w:rFonts w:ascii="Times New Roman" w:hAnsi="Times New Roman" w:cs="Times New Roman"/>
              </w:rPr>
              <w:t xml:space="preserve"> Закона 44-ФЗ, а также идентификационный код закупки, при осуществлении которой предоставляется такая независимая гарантия;</w:t>
            </w:r>
          </w:p>
          <w:p w14:paraId="258DCD39" w14:textId="77777777" w:rsidR="00DC7778" w:rsidRDefault="00DC7778" w:rsidP="00F1528D">
            <w:pPr>
              <w:autoSpaceDE w:val="0"/>
              <w:autoSpaceDN w:val="0"/>
              <w:adjustRightInd w:val="0"/>
              <w:spacing w:before="220" w:after="0" w:line="240" w:lineRule="auto"/>
              <w:contextualSpacing/>
              <w:jc w:val="both"/>
              <w:rPr>
                <w:rFonts w:ascii="Times New Roman" w:hAnsi="Times New Roman" w:cs="Times New Roman"/>
              </w:rPr>
            </w:pPr>
            <w:r>
              <w:rPr>
                <w:rFonts w:ascii="Times New Roman" w:hAnsi="Times New Roman" w:cs="Times New Roman"/>
              </w:rPr>
              <w:t>2) обязательства принципала, надлежащее исполнение которых обеспечивается независимой гарантией;</w:t>
            </w:r>
          </w:p>
          <w:p w14:paraId="4C06C0FF" w14:textId="77777777" w:rsidR="00DC7778" w:rsidRDefault="00DC7778" w:rsidP="00F1528D">
            <w:pPr>
              <w:autoSpaceDE w:val="0"/>
              <w:autoSpaceDN w:val="0"/>
              <w:adjustRightInd w:val="0"/>
              <w:spacing w:before="220" w:after="0" w:line="240" w:lineRule="auto"/>
              <w:contextualSpacing/>
              <w:jc w:val="both"/>
              <w:rPr>
                <w:rFonts w:ascii="Times New Roman" w:hAnsi="Times New Roman" w:cs="Times New Roman"/>
              </w:rPr>
            </w:pPr>
            <w:r>
              <w:rPr>
                <w:rFonts w:ascii="Times New Roman" w:hAnsi="Times New Roman" w:cs="Times New Roman"/>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3A26E6CE" w14:textId="77777777" w:rsidR="00DC7778" w:rsidRDefault="00DC7778" w:rsidP="00F1528D">
            <w:pPr>
              <w:autoSpaceDE w:val="0"/>
              <w:autoSpaceDN w:val="0"/>
              <w:adjustRightInd w:val="0"/>
              <w:spacing w:before="220" w:after="0" w:line="240" w:lineRule="auto"/>
              <w:contextualSpacing/>
              <w:jc w:val="both"/>
              <w:rPr>
                <w:rFonts w:ascii="Times New Roman" w:hAnsi="Times New Roman" w:cs="Times New Roman"/>
              </w:rPr>
            </w:pPr>
            <w:r>
              <w:rPr>
                <w:rFonts w:ascii="Times New Roman" w:hAnsi="Times New Roman" w:cs="Times New Roman"/>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1714375" w14:textId="77777777" w:rsidR="00DC7778" w:rsidRDefault="00DC7778" w:rsidP="00F1528D">
            <w:pPr>
              <w:autoSpaceDE w:val="0"/>
              <w:autoSpaceDN w:val="0"/>
              <w:adjustRightInd w:val="0"/>
              <w:spacing w:before="220" w:after="0" w:line="240" w:lineRule="auto"/>
              <w:contextualSpacing/>
              <w:jc w:val="both"/>
              <w:rPr>
                <w:rFonts w:ascii="Times New Roman" w:hAnsi="Times New Roman" w:cs="Times New Roman"/>
              </w:rPr>
            </w:pPr>
            <w:r>
              <w:rPr>
                <w:rFonts w:ascii="Times New Roman" w:hAnsi="Times New Roman" w:cs="Times New Roman"/>
              </w:rPr>
              <w:t xml:space="preserve">5) срок действия независимой гарантии с учетом требований </w:t>
            </w:r>
            <w:hyperlink r:id="rId11" w:history="1">
              <w:r>
                <w:rPr>
                  <w:rFonts w:ascii="Times New Roman" w:hAnsi="Times New Roman" w:cs="Times New Roman"/>
                  <w:color w:val="0000FF"/>
                </w:rPr>
                <w:t>статей 44</w:t>
              </w:r>
            </w:hyperlink>
            <w:r>
              <w:rPr>
                <w:rFonts w:ascii="Times New Roman" w:hAnsi="Times New Roman" w:cs="Times New Roman"/>
              </w:rPr>
              <w:t xml:space="preserve"> и </w:t>
            </w:r>
            <w:hyperlink r:id="rId12" w:history="1">
              <w:r>
                <w:rPr>
                  <w:rFonts w:ascii="Times New Roman" w:hAnsi="Times New Roman" w:cs="Times New Roman"/>
                  <w:color w:val="0000FF"/>
                </w:rPr>
                <w:t>96</w:t>
              </w:r>
            </w:hyperlink>
            <w:r>
              <w:rPr>
                <w:rFonts w:ascii="Times New Roman" w:hAnsi="Times New Roman" w:cs="Times New Roman"/>
              </w:rPr>
              <w:t xml:space="preserve"> Закона 44-ФЗ;</w:t>
            </w:r>
          </w:p>
          <w:p w14:paraId="71359214" w14:textId="77777777" w:rsidR="00DC7778" w:rsidRDefault="00DC7778" w:rsidP="00F1528D">
            <w:pPr>
              <w:autoSpaceDE w:val="0"/>
              <w:autoSpaceDN w:val="0"/>
              <w:adjustRightInd w:val="0"/>
              <w:spacing w:before="220" w:after="0" w:line="240" w:lineRule="auto"/>
              <w:contextualSpacing/>
              <w:jc w:val="both"/>
              <w:rPr>
                <w:rFonts w:ascii="Times New Roman" w:hAnsi="Times New Roman" w:cs="Times New Roman"/>
              </w:rPr>
            </w:pPr>
            <w:r>
              <w:rPr>
                <w:rFonts w:ascii="Times New Roman" w:hAnsi="Times New Roman" w:cs="Times New Roman"/>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2F31FA69" w14:textId="77777777" w:rsidR="00DC7778" w:rsidRDefault="00DC7778" w:rsidP="00F1528D">
            <w:pPr>
              <w:autoSpaceDE w:val="0"/>
              <w:autoSpaceDN w:val="0"/>
              <w:adjustRightInd w:val="0"/>
              <w:spacing w:before="220" w:after="0" w:line="240" w:lineRule="auto"/>
              <w:contextualSpacing/>
              <w:jc w:val="both"/>
              <w:rPr>
                <w:rFonts w:ascii="Times New Roman" w:hAnsi="Times New Roman" w:cs="Times New Roman"/>
              </w:rPr>
            </w:pPr>
            <w:r>
              <w:rPr>
                <w:rFonts w:ascii="Times New Roman" w:hAnsi="Times New Roman" w:cs="Times New Roman"/>
              </w:rPr>
              <w:t xml:space="preserve">7) установленный Правительством Российской Федерации </w:t>
            </w:r>
            <w:hyperlink r:id="rId13" w:history="1">
              <w:r>
                <w:rPr>
                  <w:rFonts w:ascii="Times New Roman" w:hAnsi="Times New Roman" w:cs="Times New Roman"/>
                  <w:color w:val="0000FF"/>
                </w:rPr>
                <w:t>перечень</w:t>
              </w:r>
            </w:hyperlink>
            <w:r>
              <w:rPr>
                <w:rFonts w:ascii="Times New Roman" w:hAnsi="Times New Roman" w:cs="Times New Roman"/>
              </w:rPr>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14:paraId="2B6057CD" w14:textId="77777777" w:rsidR="00DC7778" w:rsidRDefault="00DC7778" w:rsidP="00F1528D">
            <w:pPr>
              <w:spacing w:after="0" w:line="240" w:lineRule="auto"/>
              <w:jc w:val="both"/>
              <w:rPr>
                <w:rFonts w:ascii="Times New Roman" w:hAnsi="Times New Roman" w:cs="Times New Roman"/>
              </w:rPr>
            </w:pPr>
            <w:r>
              <w:rPr>
                <w:rFonts w:ascii="Times New Roman" w:hAnsi="Times New Roman" w:cs="Times New Roman"/>
              </w:rPr>
              <w:t xml:space="preserve">8)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4" w:history="1">
              <w:r>
                <w:rPr>
                  <w:rFonts w:ascii="Times New Roman" w:hAnsi="Times New Roman" w:cs="Times New Roman"/>
                  <w:color w:val="0000FF"/>
                </w:rPr>
                <w:t>кодексом</w:t>
              </w:r>
            </w:hyperlink>
            <w:r>
              <w:rPr>
                <w:rFonts w:ascii="Times New Roman" w:hAnsi="Times New Roman" w:cs="Times New Roman"/>
              </w:rPr>
              <w:t xml:space="preserve"> Российской Федерации оснований для отказа в удовлетворении этого требования.</w:t>
            </w:r>
          </w:p>
          <w:p w14:paraId="06E5E55B" w14:textId="4E5A6E35" w:rsidR="00DC7778" w:rsidRPr="003B21BD" w:rsidRDefault="00DC7778" w:rsidP="00F76B9F">
            <w:pPr>
              <w:spacing w:after="0" w:line="240" w:lineRule="auto"/>
              <w:jc w:val="both"/>
              <w:rPr>
                <w:rFonts w:ascii="Times New Roman" w:hAnsi="Times New Roman" w:cs="Times New Roman"/>
              </w:rPr>
            </w:pPr>
            <w:r>
              <w:rPr>
                <w:rFonts w:ascii="Times New Roman" w:hAnsi="Times New Roman" w:cs="Times New Roman"/>
              </w:rPr>
              <w:t xml:space="preserve">Дополнительные </w:t>
            </w:r>
            <w:hyperlink r:id="rId15" w:history="1">
              <w:r>
                <w:rPr>
                  <w:rFonts w:ascii="Times New Roman" w:hAnsi="Times New Roman" w:cs="Times New Roman"/>
                  <w:color w:val="0000FF"/>
                </w:rPr>
                <w:t>требования</w:t>
              </w:r>
            </w:hyperlink>
            <w:r>
              <w:rPr>
                <w:rFonts w:ascii="Times New Roman" w:hAnsi="Times New Roman" w:cs="Times New Roman"/>
              </w:rPr>
              <w:t xml:space="preserve"> к независимой гарантии, используемой для целей </w:t>
            </w:r>
            <w:r w:rsidRPr="006C5186">
              <w:rPr>
                <w:rFonts w:ascii="Times New Roman" w:hAnsi="Times New Roman" w:cs="Times New Roman"/>
              </w:rPr>
              <w:t>Закона 44-ФЗ</w:t>
            </w:r>
            <w:r>
              <w:rPr>
                <w:rFonts w:ascii="Times New Roman" w:hAnsi="Times New Roman" w:cs="Times New Roman"/>
              </w:rPr>
              <w:t xml:space="preserve">, </w:t>
            </w:r>
            <w:hyperlink r:id="rId16" w:history="1">
              <w:r>
                <w:rPr>
                  <w:rFonts w:ascii="Times New Roman" w:hAnsi="Times New Roman" w:cs="Times New Roman"/>
                  <w:color w:val="0000FF"/>
                </w:rPr>
                <w:t>порядок</w:t>
              </w:r>
            </w:hyperlink>
            <w:r>
              <w:rPr>
                <w:rFonts w:ascii="Times New Roman" w:hAnsi="Times New Roman" w:cs="Times New Roman"/>
              </w:rPr>
              <w:t xml:space="preserve"> ведения и размещения в единой информационной системе реестра независимых гарантий, </w:t>
            </w:r>
            <w:hyperlink r:id="rId17" w:history="1">
              <w:r>
                <w:rPr>
                  <w:rFonts w:ascii="Times New Roman" w:hAnsi="Times New Roman" w:cs="Times New Roman"/>
                  <w:color w:val="0000FF"/>
                </w:rPr>
                <w:t>порядок</w:t>
              </w:r>
            </w:hyperlink>
            <w:r>
              <w:rPr>
                <w:rFonts w:ascii="Times New Roman" w:hAnsi="Times New Roman" w:cs="Times New Roman"/>
              </w:rPr>
              <w:t xml:space="preserve"> и сроки предоставления выписок из него, типовая форма независимой гарантии, используемой для целей Закона 44-ФЗ, </w:t>
            </w:r>
            <w:hyperlink r:id="rId18" w:history="1">
              <w:r>
                <w:rPr>
                  <w:rFonts w:ascii="Times New Roman" w:hAnsi="Times New Roman" w:cs="Times New Roman"/>
                  <w:color w:val="0000FF"/>
                </w:rPr>
                <w:t>форма</w:t>
              </w:r>
            </w:hyperlink>
            <w:r>
              <w:rPr>
                <w:rFonts w:ascii="Times New Roman" w:hAnsi="Times New Roman" w:cs="Times New Roman"/>
              </w:rPr>
              <w:t xml:space="preserve"> требования об уплате денежной суммы по независимой гаран</w:t>
            </w:r>
            <w:r w:rsidR="00F76B9F">
              <w:rPr>
                <w:rFonts w:ascii="Times New Roman" w:hAnsi="Times New Roman" w:cs="Times New Roman"/>
              </w:rPr>
              <w:t>тии установлены постановлением П</w:t>
            </w:r>
            <w:r>
              <w:rPr>
                <w:rFonts w:ascii="Times New Roman" w:hAnsi="Times New Roman" w:cs="Times New Roman"/>
              </w:rPr>
              <w:t>равительства</w:t>
            </w:r>
            <w:r w:rsidR="00F76B9F">
              <w:rPr>
                <w:rFonts w:ascii="Times New Roman" w:hAnsi="Times New Roman" w:cs="Times New Roman"/>
              </w:rPr>
              <w:t xml:space="preserve"> Российской Федерации</w:t>
            </w:r>
            <w:r>
              <w:rPr>
                <w:rFonts w:ascii="Times New Roman" w:hAnsi="Times New Roman" w:cs="Times New Roman"/>
              </w:rPr>
              <w:t xml:space="preserve"> </w:t>
            </w:r>
            <w:r>
              <w:t xml:space="preserve"> </w:t>
            </w:r>
            <w:r w:rsidRPr="001E6E47">
              <w:rPr>
                <w:rFonts w:ascii="Times New Roman" w:hAnsi="Times New Roman" w:cs="Times New Roman"/>
              </w:rPr>
              <w:t xml:space="preserve">от 8 ноября 2013 г. </w:t>
            </w:r>
            <w:r w:rsidR="00F76B9F">
              <w:rPr>
                <w:rFonts w:ascii="Times New Roman" w:hAnsi="Times New Roman" w:cs="Times New Roman"/>
              </w:rPr>
              <w:t>№</w:t>
            </w:r>
            <w:r w:rsidRPr="001E6E47">
              <w:rPr>
                <w:rFonts w:ascii="Times New Roman" w:hAnsi="Times New Roman" w:cs="Times New Roman"/>
              </w:rPr>
              <w:t xml:space="preserve"> 1005</w:t>
            </w:r>
            <w:r>
              <w:rPr>
                <w:rFonts w:ascii="Times New Roman" w:hAnsi="Times New Roman" w:cs="Times New Roman"/>
              </w:rPr>
              <w:t xml:space="preserve"> </w:t>
            </w:r>
            <w:r w:rsidR="00F76B9F">
              <w:rPr>
                <w:rFonts w:ascii="Times New Roman" w:hAnsi="Times New Roman" w:cs="Times New Roman"/>
              </w:rPr>
              <w:t>«</w:t>
            </w:r>
            <w:r w:rsidRPr="003E6D7A">
              <w:rPr>
                <w:rFonts w:ascii="Times New Roman" w:hAnsi="Times New Roman" w:cs="Times New Roman"/>
              </w:rPr>
              <w:t>О независимых гарантиях,</w:t>
            </w:r>
            <w:r>
              <w:rPr>
                <w:rFonts w:ascii="Times New Roman" w:hAnsi="Times New Roman" w:cs="Times New Roman"/>
              </w:rPr>
              <w:t xml:space="preserve"> </w:t>
            </w:r>
            <w:r w:rsidRPr="003E6D7A">
              <w:rPr>
                <w:rFonts w:ascii="Times New Roman" w:hAnsi="Times New Roman" w:cs="Times New Roman"/>
              </w:rPr>
              <w:t xml:space="preserve">используемых для целей </w:t>
            </w:r>
            <w:r w:rsidR="00F76B9F">
              <w:rPr>
                <w:rFonts w:ascii="Times New Roman" w:hAnsi="Times New Roman" w:cs="Times New Roman"/>
              </w:rPr>
              <w:t>Ф</w:t>
            </w:r>
            <w:r w:rsidRPr="003E6D7A">
              <w:rPr>
                <w:rFonts w:ascii="Times New Roman" w:hAnsi="Times New Roman" w:cs="Times New Roman"/>
              </w:rPr>
              <w:t xml:space="preserve">едерального закона </w:t>
            </w:r>
            <w:r w:rsidR="00F76B9F">
              <w:rPr>
                <w:rFonts w:ascii="Times New Roman" w:hAnsi="Times New Roman" w:cs="Times New Roman"/>
              </w:rPr>
              <w:t>«О</w:t>
            </w:r>
            <w:r w:rsidRPr="003E6D7A">
              <w:rPr>
                <w:rFonts w:ascii="Times New Roman" w:hAnsi="Times New Roman" w:cs="Times New Roman"/>
              </w:rPr>
              <w:t xml:space="preserve"> контрактной</w:t>
            </w:r>
            <w:r>
              <w:rPr>
                <w:rFonts w:ascii="Times New Roman" w:hAnsi="Times New Roman" w:cs="Times New Roman"/>
              </w:rPr>
              <w:t xml:space="preserve"> </w:t>
            </w:r>
            <w:r w:rsidRPr="003E6D7A">
              <w:rPr>
                <w:rFonts w:ascii="Times New Roman" w:hAnsi="Times New Roman" w:cs="Times New Roman"/>
              </w:rPr>
              <w:t>системе в сфере закупок товаров, работ, услуг</w:t>
            </w:r>
            <w:r>
              <w:rPr>
                <w:rFonts w:ascii="Times New Roman" w:hAnsi="Times New Roman" w:cs="Times New Roman"/>
              </w:rPr>
              <w:t xml:space="preserve"> </w:t>
            </w:r>
            <w:r w:rsidRPr="003E6D7A">
              <w:rPr>
                <w:rFonts w:ascii="Times New Roman" w:hAnsi="Times New Roman" w:cs="Times New Roman"/>
              </w:rPr>
              <w:t>для обеспечения государственных</w:t>
            </w:r>
            <w:r>
              <w:rPr>
                <w:rFonts w:ascii="Times New Roman" w:hAnsi="Times New Roman" w:cs="Times New Roman"/>
              </w:rPr>
              <w:t xml:space="preserve"> </w:t>
            </w:r>
            <w:r w:rsidRPr="003E6D7A">
              <w:rPr>
                <w:rFonts w:ascii="Times New Roman" w:hAnsi="Times New Roman" w:cs="Times New Roman"/>
              </w:rPr>
              <w:t>и муниципальных нужд</w:t>
            </w:r>
            <w:r w:rsidR="00F76B9F">
              <w:rPr>
                <w:rFonts w:ascii="Times New Roman" w:hAnsi="Times New Roman" w:cs="Times New Roman"/>
              </w:rPr>
              <w:t>»</w:t>
            </w:r>
            <w:r>
              <w:rPr>
                <w:rFonts w:ascii="Times New Roman" w:hAnsi="Times New Roman" w:cs="Times New Roman"/>
              </w:rPr>
              <w:t>.</w:t>
            </w:r>
          </w:p>
        </w:tc>
      </w:tr>
      <w:tr w:rsidR="00DC7778" w:rsidRPr="003B21BD" w14:paraId="0677C24B" w14:textId="77777777" w:rsidTr="00DC7778">
        <w:trPr>
          <w:trHeight w:val="433"/>
        </w:trPr>
        <w:tc>
          <w:tcPr>
            <w:tcW w:w="346" w:type="pct"/>
            <w:tcBorders>
              <w:top w:val="single" w:sz="4" w:space="0" w:color="000001"/>
              <w:left w:val="single" w:sz="4" w:space="0" w:color="000001"/>
              <w:bottom w:val="single" w:sz="4" w:space="0" w:color="000001"/>
              <w:right w:val="single" w:sz="4" w:space="0" w:color="000001"/>
            </w:tcBorders>
          </w:tcPr>
          <w:p w14:paraId="2AF003C9" w14:textId="77777777" w:rsidR="00DC7778" w:rsidRPr="00DC7778" w:rsidRDefault="00DC7778" w:rsidP="00DC7778">
            <w:pPr>
              <w:pStyle w:val="a3"/>
              <w:numPr>
                <w:ilvl w:val="0"/>
                <w:numId w:val="7"/>
              </w:numPr>
              <w:tabs>
                <w:tab w:val="left" w:pos="183"/>
                <w:tab w:val="left" w:pos="608"/>
              </w:tabs>
              <w:ind w:left="466" w:right="123" w:hanging="283"/>
            </w:pPr>
          </w:p>
        </w:tc>
        <w:tc>
          <w:tcPr>
            <w:tcW w:w="1455" w:type="pc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F8D582" w14:textId="7C42D4F0" w:rsidR="00DC7778" w:rsidRPr="003B21BD" w:rsidRDefault="00DC7778" w:rsidP="00F1528D">
            <w:pPr>
              <w:spacing w:after="0" w:line="240" w:lineRule="auto"/>
              <w:rPr>
                <w:rFonts w:ascii="Times New Roman" w:hAnsi="Times New Roman" w:cs="Times New Roman"/>
              </w:rPr>
            </w:pPr>
            <w:r w:rsidRPr="003B21BD">
              <w:rPr>
                <w:rFonts w:ascii="Times New Roman" w:hAnsi="Times New Roman" w:cs="Times New Roman"/>
              </w:rPr>
              <w:t>Порядок предоставления обеспечения исполнения контракта и требования к обеспечению исполнения контракта</w:t>
            </w:r>
          </w:p>
        </w:tc>
        <w:tc>
          <w:tcPr>
            <w:tcW w:w="3199" w:type="pc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23CE7E" w14:textId="77777777" w:rsidR="00DC7778" w:rsidRPr="00080905" w:rsidRDefault="00DC7778" w:rsidP="00F1528D">
            <w:pPr>
              <w:spacing w:line="240" w:lineRule="auto"/>
              <w:jc w:val="both"/>
              <w:rPr>
                <w:rFonts w:ascii="Times New Roman" w:hAnsi="Times New Roman" w:cs="Times New Roman"/>
              </w:rPr>
            </w:pPr>
            <w:r w:rsidRPr="003B6FE5">
              <w:rPr>
                <w:rFonts w:ascii="Times New Roman" w:hAnsi="Times New Roman" w:cs="Times New Roman"/>
              </w:rPr>
              <w:t xml:space="preserve">В случае если в извещении о проведении закупки установлены требования об </w:t>
            </w:r>
            <w:r>
              <w:rPr>
                <w:rFonts w:ascii="Times New Roman" w:hAnsi="Times New Roman" w:cs="Times New Roman"/>
              </w:rPr>
              <w:t>обеспечении</w:t>
            </w:r>
            <w:r w:rsidRPr="003B6FE5">
              <w:rPr>
                <w:rFonts w:ascii="Times New Roman" w:hAnsi="Times New Roman" w:cs="Times New Roman"/>
              </w:rPr>
              <w:t xml:space="preserve"> исполнения контракта</w:t>
            </w:r>
            <w:r>
              <w:rPr>
                <w:rFonts w:ascii="Times New Roman" w:hAnsi="Times New Roman" w:cs="Times New Roman"/>
              </w:rPr>
              <w:t>,</w:t>
            </w:r>
            <w:r w:rsidRPr="003B6FE5">
              <w:rPr>
                <w:rFonts w:ascii="Times New Roman" w:hAnsi="Times New Roman" w:cs="Times New Roman"/>
              </w:rPr>
              <w:t xml:space="preserve"> </w:t>
            </w:r>
            <w:r>
              <w:rPr>
                <w:rFonts w:ascii="Times New Roman" w:hAnsi="Times New Roman" w:cs="Times New Roman"/>
              </w:rPr>
              <w:t>и</w:t>
            </w:r>
            <w:r w:rsidRPr="00080905">
              <w:rPr>
                <w:rFonts w:ascii="Times New Roman" w:hAnsi="Times New Roman" w:cs="Times New Roman"/>
              </w:rPr>
              <w:t>сполнение контракта может обеспечиваться предоставлением независимой гарантии, соответствующей требованиям статьи 45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а именно:</w:t>
            </w:r>
          </w:p>
          <w:p w14:paraId="2DB591B0" w14:textId="77777777" w:rsidR="00DC7778" w:rsidRPr="00080905" w:rsidRDefault="00DC7778" w:rsidP="00F1528D">
            <w:pPr>
              <w:spacing w:after="0" w:line="240" w:lineRule="auto"/>
              <w:jc w:val="both"/>
              <w:rPr>
                <w:rFonts w:ascii="Times New Roman" w:hAnsi="Times New Roman" w:cs="Times New Roman"/>
              </w:rPr>
            </w:pPr>
            <w:r w:rsidRPr="00080905">
              <w:rPr>
                <w:rFonts w:ascii="Times New Roman" w:hAnsi="Times New Roman" w:cs="Times New Roman"/>
              </w:rPr>
              <w:t>Получатель:</w:t>
            </w:r>
          </w:p>
          <w:p w14:paraId="29A2E594" w14:textId="77777777" w:rsidR="00DC7778" w:rsidRPr="00080905" w:rsidRDefault="00DC7778" w:rsidP="00F1528D">
            <w:pPr>
              <w:spacing w:after="0" w:line="240" w:lineRule="auto"/>
              <w:jc w:val="both"/>
              <w:rPr>
                <w:rFonts w:ascii="Times New Roman" w:hAnsi="Times New Roman" w:cs="Times New Roman"/>
              </w:rPr>
            </w:pPr>
            <w:r w:rsidRPr="00080905">
              <w:rPr>
                <w:rFonts w:ascii="Times New Roman" w:hAnsi="Times New Roman" w:cs="Times New Roman"/>
              </w:rPr>
              <w:t>ИНН 5408106348 КПП 540801001</w:t>
            </w:r>
          </w:p>
          <w:p w14:paraId="694E3408" w14:textId="77777777" w:rsidR="00DC7778" w:rsidRPr="00080905" w:rsidRDefault="00DC7778" w:rsidP="00F1528D">
            <w:pPr>
              <w:spacing w:after="0" w:line="240" w:lineRule="auto"/>
              <w:jc w:val="both"/>
              <w:rPr>
                <w:rFonts w:ascii="Times New Roman" w:hAnsi="Times New Roman" w:cs="Times New Roman"/>
              </w:rPr>
            </w:pPr>
            <w:r w:rsidRPr="00080905">
              <w:rPr>
                <w:rFonts w:ascii="Times New Roman" w:hAnsi="Times New Roman" w:cs="Times New Roman"/>
              </w:rPr>
              <w:t xml:space="preserve">УФК по Новосибирской области </w:t>
            </w:r>
          </w:p>
          <w:p w14:paraId="782F0BDE" w14:textId="77777777" w:rsidR="00DC7778" w:rsidRPr="00080905" w:rsidRDefault="00DC7778" w:rsidP="00F1528D">
            <w:pPr>
              <w:spacing w:after="0" w:line="240" w:lineRule="auto"/>
              <w:jc w:val="both"/>
              <w:rPr>
                <w:rFonts w:ascii="Times New Roman" w:hAnsi="Times New Roman" w:cs="Times New Roman"/>
              </w:rPr>
            </w:pPr>
            <w:r w:rsidRPr="00080905">
              <w:rPr>
                <w:rFonts w:ascii="Times New Roman" w:hAnsi="Times New Roman" w:cs="Times New Roman"/>
              </w:rPr>
              <w:t xml:space="preserve">(ФГБУ «НМИЦ им. </w:t>
            </w:r>
            <w:proofErr w:type="spellStart"/>
            <w:r w:rsidRPr="00080905">
              <w:rPr>
                <w:rFonts w:ascii="Times New Roman" w:hAnsi="Times New Roman" w:cs="Times New Roman"/>
              </w:rPr>
              <w:t>ак</w:t>
            </w:r>
            <w:proofErr w:type="spellEnd"/>
            <w:r w:rsidRPr="00080905">
              <w:rPr>
                <w:rFonts w:ascii="Times New Roman" w:hAnsi="Times New Roman" w:cs="Times New Roman"/>
              </w:rPr>
              <w:t xml:space="preserve">. Е.Н. Мешалкина» Минздрава России л/с 20516X68950) </w:t>
            </w:r>
          </w:p>
          <w:p w14:paraId="3FE7323E" w14:textId="77777777" w:rsidR="00DC7778" w:rsidRPr="00080905" w:rsidRDefault="00DC7778" w:rsidP="00F1528D">
            <w:pPr>
              <w:spacing w:after="0" w:line="240" w:lineRule="auto"/>
              <w:jc w:val="both"/>
              <w:rPr>
                <w:rFonts w:ascii="Times New Roman" w:hAnsi="Times New Roman" w:cs="Times New Roman"/>
              </w:rPr>
            </w:pPr>
            <w:r w:rsidRPr="00080905">
              <w:rPr>
                <w:rFonts w:ascii="Times New Roman" w:hAnsi="Times New Roman" w:cs="Times New Roman"/>
              </w:rPr>
              <w:t>Банк получателя:</w:t>
            </w:r>
          </w:p>
          <w:p w14:paraId="237F5243" w14:textId="77777777" w:rsidR="00DC7778" w:rsidRPr="00080905" w:rsidRDefault="00DC7778" w:rsidP="00F1528D">
            <w:pPr>
              <w:spacing w:after="0" w:line="240" w:lineRule="auto"/>
              <w:jc w:val="both"/>
              <w:rPr>
                <w:rFonts w:ascii="Times New Roman" w:hAnsi="Times New Roman" w:cs="Times New Roman"/>
              </w:rPr>
            </w:pPr>
            <w:r w:rsidRPr="00080905">
              <w:rPr>
                <w:rFonts w:ascii="Times New Roman" w:hAnsi="Times New Roman" w:cs="Times New Roman"/>
              </w:rPr>
              <w:t>СИБИРСКОЕ ГУ БАНКА РОССИИ// УФК по Новосибирской области г. Новосибирск</w:t>
            </w:r>
          </w:p>
          <w:p w14:paraId="668390BB" w14:textId="77777777" w:rsidR="00DC7778" w:rsidRPr="00080905" w:rsidRDefault="00DC7778" w:rsidP="00F1528D">
            <w:pPr>
              <w:spacing w:after="0" w:line="240" w:lineRule="auto"/>
              <w:jc w:val="both"/>
              <w:rPr>
                <w:rFonts w:ascii="Times New Roman" w:hAnsi="Times New Roman" w:cs="Times New Roman"/>
              </w:rPr>
            </w:pPr>
            <w:r w:rsidRPr="00080905">
              <w:rPr>
                <w:rFonts w:ascii="Times New Roman" w:hAnsi="Times New Roman" w:cs="Times New Roman"/>
              </w:rPr>
              <w:t>БИК 015004950</w:t>
            </w:r>
          </w:p>
          <w:p w14:paraId="60543F35" w14:textId="77777777" w:rsidR="00DC7778" w:rsidRPr="00080905" w:rsidRDefault="00DC7778" w:rsidP="00F1528D">
            <w:pPr>
              <w:spacing w:after="0" w:line="240" w:lineRule="auto"/>
              <w:jc w:val="both"/>
              <w:rPr>
                <w:rFonts w:ascii="Times New Roman" w:hAnsi="Times New Roman" w:cs="Times New Roman"/>
              </w:rPr>
            </w:pPr>
            <w:r w:rsidRPr="00080905">
              <w:rPr>
                <w:rFonts w:ascii="Times New Roman" w:hAnsi="Times New Roman" w:cs="Times New Roman"/>
              </w:rPr>
              <w:t>К/с 40102810445370000043</w:t>
            </w:r>
          </w:p>
          <w:p w14:paraId="1B09B5F7" w14:textId="77777777" w:rsidR="00DC7778" w:rsidRDefault="00DC7778" w:rsidP="00F1528D">
            <w:pPr>
              <w:spacing w:after="0" w:line="240" w:lineRule="auto"/>
              <w:jc w:val="both"/>
              <w:rPr>
                <w:rFonts w:ascii="Times New Roman" w:hAnsi="Times New Roman" w:cs="Times New Roman"/>
              </w:rPr>
            </w:pPr>
            <w:r w:rsidRPr="00080905">
              <w:rPr>
                <w:rFonts w:ascii="Times New Roman" w:hAnsi="Times New Roman" w:cs="Times New Roman"/>
              </w:rPr>
              <w:t xml:space="preserve">Р/с 03214643000000015100   </w:t>
            </w:r>
          </w:p>
          <w:p w14:paraId="5E9672CF" w14:textId="77777777" w:rsidR="00DC7778" w:rsidRPr="00080905" w:rsidRDefault="00DC7778" w:rsidP="00F1528D">
            <w:pPr>
              <w:spacing w:after="0" w:line="240" w:lineRule="auto"/>
              <w:jc w:val="both"/>
              <w:rPr>
                <w:rFonts w:ascii="Times New Roman" w:hAnsi="Times New Roman" w:cs="Times New Roman"/>
              </w:rPr>
            </w:pPr>
          </w:p>
          <w:p w14:paraId="59AE9B9B" w14:textId="77777777" w:rsidR="00F32DCE" w:rsidRPr="00F32DCE" w:rsidRDefault="00F32DCE" w:rsidP="00F32DCE">
            <w:pPr>
              <w:jc w:val="both"/>
              <w:rPr>
                <w:rFonts w:ascii="Times New Roman" w:hAnsi="Times New Roman"/>
              </w:rPr>
            </w:pPr>
            <w:r w:rsidRPr="00F32DCE">
              <w:rPr>
                <w:rFonts w:ascii="Times New Roman" w:hAnsi="Times New Roman"/>
              </w:rPr>
              <w:t xml:space="preserve">В поле «Назначение платежа» </w:t>
            </w:r>
            <w:r w:rsidRPr="00F32DCE">
              <w:rPr>
                <w:rFonts w:ascii="Times New Roman" w:hAnsi="Times New Roman" w:cs="Times New Roman"/>
              </w:rPr>
              <w:t xml:space="preserve">перед текстовым указанием назначения платежа </w:t>
            </w:r>
            <w:r w:rsidRPr="00F32DCE">
              <w:rPr>
                <w:rFonts w:ascii="Times New Roman" w:hAnsi="Times New Roman"/>
              </w:rPr>
              <w:t xml:space="preserve">должно быть указание </w:t>
            </w:r>
            <w:r w:rsidRPr="00F32DCE">
              <w:rPr>
                <w:rFonts w:ascii="Times New Roman" w:hAnsi="Times New Roman"/>
                <w:u w:val="single"/>
              </w:rPr>
              <w:t xml:space="preserve">(с учетом </w:t>
            </w:r>
            <w:r w:rsidRPr="00F32DCE">
              <w:rPr>
                <w:rFonts w:ascii="Times New Roman" w:eastAsia="Calibri" w:hAnsi="Times New Roman" w:cs="Times New Roman"/>
                <w:u w:val="single"/>
              </w:rPr>
              <w:t>Письм</w:t>
            </w:r>
            <w:r w:rsidRPr="00F32DCE">
              <w:rPr>
                <w:rFonts w:ascii="Times New Roman" w:hAnsi="Times New Roman"/>
                <w:u w:val="single"/>
              </w:rPr>
              <w:t xml:space="preserve">а </w:t>
            </w:r>
            <w:r w:rsidRPr="00F32DCE">
              <w:rPr>
                <w:rFonts w:ascii="Times New Roman" w:eastAsia="Calibri" w:hAnsi="Times New Roman" w:cs="Times New Roman"/>
                <w:u w:val="single"/>
              </w:rPr>
              <w:t>Банка России N 03-45/732, Казначейства России N 07-04-05/05-2127 от 29.01.2025</w:t>
            </w:r>
            <w:r w:rsidRPr="00F32DCE">
              <w:rPr>
                <w:rFonts w:ascii="Times New Roman" w:hAnsi="Times New Roman"/>
                <w:u w:val="single"/>
              </w:rPr>
              <w:t xml:space="preserve"> «</w:t>
            </w:r>
            <w:r w:rsidRPr="00F32DCE">
              <w:rPr>
                <w:rFonts w:ascii="Times New Roman" w:eastAsia="Calibri" w:hAnsi="Times New Roman" w:cs="Times New Roman"/>
              </w:rPr>
              <w:t>Об осо</w:t>
            </w:r>
            <w:r w:rsidRPr="00F32DCE">
              <w:rPr>
                <w:rFonts w:ascii="Times New Roman" w:hAnsi="Times New Roman"/>
              </w:rPr>
              <w:t>бенностях заполнения реквизита «</w:t>
            </w:r>
            <w:r w:rsidRPr="00F32DCE">
              <w:rPr>
                <w:rFonts w:ascii="Times New Roman" w:eastAsia="Calibri" w:hAnsi="Times New Roman" w:cs="Times New Roman"/>
              </w:rPr>
              <w:t>Назначение платежа" платежного поручения, платежного распоряжения</w:t>
            </w:r>
            <w:r w:rsidRPr="00F32DCE">
              <w:rPr>
                <w:rFonts w:ascii="Times New Roman" w:hAnsi="Times New Roman"/>
              </w:rPr>
              <w:t>») идентификационный код закупки, формируемый с использованием ЕИС в сфере закупок, который отделяется знаком "//". Далее в</w:t>
            </w:r>
            <w:r w:rsidRPr="00F32DCE">
              <w:rPr>
                <w:rFonts w:ascii="Times New Roman" w:hAnsi="Times New Roman" w:cs="Times New Roman"/>
              </w:rPr>
              <w:t xml:space="preserve"> поле «Назначение платежа» должно быть указание на КБК 00000000000000000510, также на контракт, в ОИК которого вносится данная сумма, путем указания на № контакта (при наличии), № извещения, предмет контракта, и, по возможности, ссылку на протокол.</w:t>
            </w:r>
          </w:p>
          <w:p w14:paraId="6575475B" w14:textId="77777777" w:rsidR="00DC7778" w:rsidRPr="00DF0811" w:rsidRDefault="00DC7778" w:rsidP="00F1528D">
            <w:pPr>
              <w:spacing w:line="240" w:lineRule="auto"/>
              <w:jc w:val="both"/>
              <w:rPr>
                <w:rFonts w:ascii="Times New Roman" w:hAnsi="Times New Roman" w:cs="Times New Roman"/>
              </w:rPr>
            </w:pPr>
            <w:r w:rsidRPr="00DF0811">
              <w:rPr>
                <w:rFonts w:ascii="Times New Roman" w:hAnsi="Times New Roman" w:cs="Times New Roman"/>
              </w:rPr>
              <w:t xml:space="preserve">Способ обеспечения исполнения контракта, срок действия независимой гарантии определяются в соответствии с требованиями Закона 44-ФЗ участником </w:t>
            </w:r>
            <w:r>
              <w:rPr>
                <w:rFonts w:ascii="Times New Roman" w:hAnsi="Times New Roman" w:cs="Times New Roman"/>
              </w:rPr>
              <w:t>закупки</w:t>
            </w:r>
            <w:r w:rsidRPr="00DF0811">
              <w:rPr>
                <w:rFonts w:ascii="Times New Roman" w:hAnsi="Times New Roman" w:cs="Times New Roman"/>
              </w:rPr>
              <w:t>, с которым заключается контракт, самостоятельно.</w:t>
            </w:r>
            <w:r>
              <w:rPr>
                <w:rFonts w:ascii="Times New Roman" w:hAnsi="Times New Roman" w:cs="Times New Roman"/>
              </w:rPr>
              <w:t xml:space="preserve"> </w:t>
            </w:r>
            <w:r w:rsidRPr="00DF0811">
              <w:rPr>
                <w:rFonts w:ascii="Times New Roman" w:hAnsi="Times New Roman" w:cs="Times New Roman"/>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w:t>
            </w:r>
            <w:r w:rsidRPr="00DF0811">
              <w:rPr>
                <w:rFonts w:ascii="Times New Roman" w:hAnsi="Times New Roman" w:cs="Times New Roman"/>
                <w:b/>
              </w:rPr>
              <w:t>не менее чем на один месяц</w:t>
            </w:r>
            <w:r w:rsidRPr="00DF0811">
              <w:rPr>
                <w:rFonts w:ascii="Times New Roman" w:hAnsi="Times New Roman" w:cs="Times New Roman"/>
              </w:rPr>
              <w:t>, в том числе в случае его изменения в соответствии со статьей 95 Закона 44-ФЗ.</w:t>
            </w:r>
          </w:p>
          <w:p w14:paraId="5F3F6E09" w14:textId="5A5957AE" w:rsidR="00DC7778" w:rsidRPr="00DF0811" w:rsidRDefault="00DC7778" w:rsidP="00F1528D">
            <w:pPr>
              <w:pStyle w:val="ConsPlusNormal"/>
              <w:spacing w:after="160"/>
              <w:ind w:firstLine="0"/>
              <w:jc w:val="both"/>
              <w:outlineLvl w:val="1"/>
            </w:pPr>
            <w:r w:rsidRPr="00DF0811">
              <w:rPr>
                <w:rFonts w:ascii="Times New Roman" w:hAnsi="Times New Roman" w:cs="Times New Roman"/>
              </w:rPr>
              <w:t xml:space="preserve">Участник </w:t>
            </w:r>
            <w:r>
              <w:rPr>
                <w:rFonts w:ascii="Times New Roman" w:hAnsi="Times New Roman" w:cs="Times New Roman"/>
              </w:rPr>
              <w:t>закупки</w:t>
            </w:r>
            <w:r w:rsidRPr="00DF0811">
              <w:rPr>
                <w:rFonts w:ascii="Times New Roman" w:hAnsi="Times New Roman" w:cs="Times New Roman"/>
              </w:rPr>
              <w:t xml:space="preserve">, с которым заключается контракт по результатам определения </w:t>
            </w:r>
            <w:r w:rsidRPr="00F31704">
              <w:rPr>
                <w:rFonts w:ascii="Times New Roman" w:hAnsi="Times New Roman" w:cs="Times New Roman"/>
              </w:rPr>
              <w:t>поставщика в соответствии с пунктом 1 части 1 статьи 30 Закона 44-ФЗ, освобождается от предоставления обеспечения исполнения контракта, в случае предоставления таким</w:t>
            </w:r>
            <w:r w:rsidRPr="00DF0811">
              <w:rPr>
                <w:rFonts w:ascii="Times New Roman" w:hAnsi="Times New Roman" w:cs="Times New Roman"/>
              </w:rPr>
              <w:t xml:space="preserve"> участником </w:t>
            </w:r>
            <w:r>
              <w:rPr>
                <w:rFonts w:ascii="Times New Roman" w:hAnsi="Times New Roman" w:cs="Times New Roman"/>
              </w:rPr>
              <w:t>закупки</w:t>
            </w:r>
            <w:r w:rsidRPr="00DF0811">
              <w:rPr>
                <w:rFonts w:ascii="Times New Roman" w:hAnsi="Times New Roman" w:cs="Times New Roman"/>
              </w:rPr>
              <w:t xml:space="preserve">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w:t>
            </w:r>
            <w:r>
              <w:rPr>
                <w:rFonts w:ascii="Times New Roman" w:hAnsi="Times New Roman" w:cs="Times New Roman"/>
              </w:rPr>
              <w:t>закупке</w:t>
            </w:r>
            <w:r w:rsidRPr="00DF0811">
              <w:rPr>
                <w:rFonts w:ascii="Times New Roman" w:hAnsi="Times New Roman" w:cs="Times New Roman"/>
              </w:rPr>
              <w:t xml:space="preserve"> трех контрактов, исполненных без применения к такому участнику неустоек (штрафов, пеней). Такая информация представляется участником </w:t>
            </w:r>
            <w:r>
              <w:rPr>
                <w:rFonts w:ascii="Times New Roman" w:hAnsi="Times New Roman" w:cs="Times New Roman"/>
              </w:rPr>
              <w:t>закупки</w:t>
            </w:r>
            <w:r w:rsidRPr="00DF0811">
              <w:rPr>
                <w:rFonts w:ascii="Times New Roman" w:hAnsi="Times New Roman" w:cs="Times New Roman"/>
              </w:rPr>
              <w:t xml:space="preserve">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w:t>
            </w:r>
            <w:r>
              <w:rPr>
                <w:rFonts w:ascii="Times New Roman" w:hAnsi="Times New Roman" w:cs="Times New Roman"/>
              </w:rPr>
              <w:t>начально</w:t>
            </w:r>
            <w:r w:rsidR="00C221F5">
              <w:rPr>
                <w:rFonts w:ascii="Times New Roman" w:hAnsi="Times New Roman" w:cs="Times New Roman"/>
              </w:rPr>
              <w:t>го</w:t>
            </w:r>
            <w:r>
              <w:rPr>
                <w:rFonts w:ascii="Times New Roman" w:hAnsi="Times New Roman" w:cs="Times New Roman"/>
              </w:rPr>
              <w:t xml:space="preserve"> </w:t>
            </w:r>
            <w:r w:rsidRPr="00DF0811">
              <w:rPr>
                <w:rFonts w:ascii="Times New Roman" w:hAnsi="Times New Roman" w:cs="Times New Roman"/>
              </w:rPr>
              <w:t>максимально</w:t>
            </w:r>
            <w:r w:rsidR="00C221F5">
              <w:rPr>
                <w:rFonts w:ascii="Times New Roman" w:hAnsi="Times New Roman" w:cs="Times New Roman"/>
              </w:rPr>
              <w:t>го</w:t>
            </w:r>
            <w:r w:rsidRPr="00DF0811">
              <w:rPr>
                <w:rFonts w:ascii="Times New Roman" w:hAnsi="Times New Roman" w:cs="Times New Roman"/>
              </w:rPr>
              <w:t xml:space="preserve"> </w:t>
            </w:r>
            <w:r w:rsidR="00C221F5">
              <w:rPr>
                <w:rFonts w:ascii="Times New Roman" w:hAnsi="Times New Roman" w:cs="Times New Roman"/>
              </w:rPr>
              <w:t xml:space="preserve">значения </w:t>
            </w:r>
            <w:r w:rsidRPr="00DF0811">
              <w:rPr>
                <w:rFonts w:ascii="Times New Roman" w:hAnsi="Times New Roman" w:cs="Times New Roman"/>
              </w:rPr>
              <w:t>цены контракта, указанно</w:t>
            </w:r>
            <w:r w:rsidR="00C221F5">
              <w:rPr>
                <w:rFonts w:ascii="Times New Roman" w:hAnsi="Times New Roman" w:cs="Times New Roman"/>
              </w:rPr>
              <w:t>го</w:t>
            </w:r>
            <w:r w:rsidRPr="00DF0811">
              <w:rPr>
                <w:rFonts w:ascii="Times New Roman" w:hAnsi="Times New Roman" w:cs="Times New Roman"/>
              </w:rPr>
              <w:t xml:space="preserve"> в извещении об осуществлении </w:t>
            </w:r>
            <w:r>
              <w:rPr>
                <w:rFonts w:ascii="Times New Roman" w:hAnsi="Times New Roman" w:cs="Times New Roman"/>
              </w:rPr>
              <w:t>закупки</w:t>
            </w:r>
            <w:r w:rsidRPr="00DF0811">
              <w:rPr>
                <w:rFonts w:ascii="Times New Roman" w:hAnsi="Times New Roman" w:cs="Times New Roman"/>
              </w:rPr>
              <w:t>.</w:t>
            </w:r>
          </w:p>
          <w:p w14:paraId="1F6D3267" w14:textId="77777777" w:rsidR="00DC7778" w:rsidRPr="00DF0811" w:rsidRDefault="00DC7778" w:rsidP="00F1528D">
            <w:pPr>
              <w:pStyle w:val="a5"/>
              <w:tabs>
                <w:tab w:val="left" w:pos="271"/>
              </w:tabs>
              <w:spacing w:after="160"/>
              <w:jc w:val="both"/>
              <w:rPr>
                <w:rFonts w:ascii="Times New Roman" w:hAnsi="Times New Roman"/>
              </w:rPr>
            </w:pPr>
            <w:r w:rsidRPr="00DF0811">
              <w:rPr>
                <w:rFonts w:ascii="Times New Roman" w:hAnsi="Times New Roman"/>
              </w:rPr>
              <w:t xml:space="preserve">Контракт заключается после предоставления участником </w:t>
            </w:r>
            <w:r>
              <w:rPr>
                <w:rFonts w:ascii="Times New Roman" w:hAnsi="Times New Roman"/>
              </w:rPr>
              <w:t>закупки</w:t>
            </w:r>
            <w:r w:rsidRPr="00DF0811">
              <w:rPr>
                <w:rFonts w:ascii="Times New Roman" w:hAnsi="Times New Roman"/>
              </w:rPr>
              <w:t xml:space="preserve">, с которым заключается контракт, обеспечения исполнения контракта в соответствии с Законом 44-ФЗ. </w:t>
            </w:r>
          </w:p>
          <w:p w14:paraId="3B3358CF" w14:textId="77777777" w:rsidR="00DC7778" w:rsidRPr="00DF0811" w:rsidRDefault="00DC7778" w:rsidP="00F1528D">
            <w:pPr>
              <w:spacing w:line="240" w:lineRule="auto"/>
              <w:jc w:val="both"/>
              <w:rPr>
                <w:rFonts w:ascii="Times New Roman" w:hAnsi="Times New Roman" w:cs="Times New Roman"/>
              </w:rPr>
            </w:pPr>
            <w:r w:rsidRPr="00DF0811">
              <w:rPr>
                <w:rFonts w:ascii="Times New Roman" w:hAnsi="Times New Roman" w:cs="Times New Roman"/>
              </w:rPr>
              <w:t xml:space="preserve">В случае </w:t>
            </w:r>
            <w:proofErr w:type="spellStart"/>
            <w:r w:rsidRPr="00DF0811">
              <w:rPr>
                <w:rFonts w:ascii="Times New Roman" w:hAnsi="Times New Roman" w:cs="Times New Roman"/>
              </w:rPr>
              <w:t>непредоставления</w:t>
            </w:r>
            <w:proofErr w:type="spellEnd"/>
            <w:r w:rsidRPr="00DF0811">
              <w:rPr>
                <w:rFonts w:ascii="Times New Roman" w:hAnsi="Times New Roman" w:cs="Times New Roman"/>
              </w:rPr>
              <w:t xml:space="preserve"> участником </w:t>
            </w:r>
            <w:r>
              <w:rPr>
                <w:rFonts w:ascii="Times New Roman" w:hAnsi="Times New Roman" w:cs="Times New Roman"/>
              </w:rPr>
              <w:t>закупки</w:t>
            </w:r>
            <w:r w:rsidRPr="00DF0811">
              <w:rPr>
                <w:rFonts w:ascii="Times New Roman" w:hAnsi="Times New Roman" w:cs="Times New Roman"/>
              </w:rPr>
              <w:t>,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3BE2CA4D" w14:textId="56C2D436" w:rsidR="00DC7778" w:rsidRPr="00084CBD" w:rsidRDefault="00DC7778" w:rsidP="00F36960">
            <w:pPr>
              <w:pStyle w:val="ConsPlusNormal"/>
              <w:spacing w:after="160"/>
              <w:ind w:firstLine="0"/>
              <w:jc w:val="both"/>
              <w:outlineLvl w:val="1"/>
              <w:rPr>
                <w:highlight w:val="green"/>
              </w:rPr>
            </w:pPr>
            <w:r w:rsidRPr="009054E0">
              <w:rPr>
                <w:rFonts w:ascii="Times New Roman" w:hAnsi="Times New Roman" w:cs="Times New Roman"/>
              </w:rPr>
              <w:t xml:space="preserve">Обеспечение исполнения контракта, включая положения о предоставлении такого обеспечения </w:t>
            </w:r>
            <w:bookmarkStart w:id="0" w:name="_GoBack"/>
            <w:bookmarkEnd w:id="0"/>
            <w:r w:rsidRPr="009054E0">
              <w:rPr>
                <w:rFonts w:ascii="Times New Roman" w:hAnsi="Times New Roman" w:cs="Times New Roman"/>
              </w:rPr>
              <w:t>не применяются в</w:t>
            </w:r>
            <w:r w:rsidRPr="00DF0811">
              <w:rPr>
                <w:rFonts w:ascii="Times New Roman" w:hAnsi="Times New Roman" w:cs="Times New Roman"/>
              </w:rPr>
              <w:t xml:space="preserve"> случае заключения контракта с участником </w:t>
            </w:r>
            <w:r>
              <w:rPr>
                <w:rFonts w:ascii="Times New Roman" w:hAnsi="Times New Roman" w:cs="Times New Roman"/>
              </w:rPr>
              <w:t>закупки</w:t>
            </w:r>
            <w:r w:rsidRPr="00DF0811">
              <w:rPr>
                <w:rFonts w:ascii="Times New Roman" w:hAnsi="Times New Roman" w:cs="Times New Roman"/>
              </w:rPr>
              <w:t>, который является казенным учреждением.</w:t>
            </w:r>
          </w:p>
        </w:tc>
      </w:tr>
      <w:tr w:rsidR="00DC7778" w:rsidRPr="003B21BD" w14:paraId="34A95203" w14:textId="77777777" w:rsidTr="00DC7778">
        <w:trPr>
          <w:trHeight w:val="433"/>
        </w:trPr>
        <w:tc>
          <w:tcPr>
            <w:tcW w:w="346" w:type="pct"/>
            <w:tcBorders>
              <w:top w:val="single" w:sz="4" w:space="0" w:color="000001"/>
              <w:left w:val="single" w:sz="4" w:space="0" w:color="000001"/>
              <w:bottom w:val="single" w:sz="4" w:space="0" w:color="000001"/>
              <w:right w:val="single" w:sz="4" w:space="0" w:color="000001"/>
            </w:tcBorders>
          </w:tcPr>
          <w:p w14:paraId="7B46F603" w14:textId="77777777" w:rsidR="00DC7778" w:rsidRPr="00DC7778" w:rsidRDefault="00DC7778" w:rsidP="00DC7778">
            <w:pPr>
              <w:pStyle w:val="a3"/>
              <w:numPr>
                <w:ilvl w:val="0"/>
                <w:numId w:val="7"/>
              </w:numPr>
              <w:tabs>
                <w:tab w:val="left" w:pos="183"/>
                <w:tab w:val="left" w:pos="608"/>
              </w:tabs>
              <w:ind w:left="466" w:right="123" w:hanging="283"/>
            </w:pPr>
          </w:p>
        </w:tc>
        <w:tc>
          <w:tcPr>
            <w:tcW w:w="1455" w:type="pc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2BFC53" w14:textId="54CDEE97" w:rsidR="00DC7778" w:rsidRPr="003B21BD" w:rsidRDefault="00DC7778" w:rsidP="00F1528D">
            <w:pPr>
              <w:spacing w:after="0" w:line="240" w:lineRule="auto"/>
              <w:rPr>
                <w:rFonts w:ascii="Times New Roman" w:hAnsi="Times New Roman" w:cs="Times New Roman"/>
                <w:highlight w:val="yellow"/>
              </w:rPr>
            </w:pPr>
            <w:r w:rsidRPr="003B21BD">
              <w:rPr>
                <w:rFonts w:ascii="Times New Roman" w:hAnsi="Times New Roman" w:cs="Times New Roman"/>
              </w:rPr>
              <w:t>Порядок предоставления обеспечения гарантийных обязательств и требования к обеспечению гарантийных обязательств</w:t>
            </w:r>
          </w:p>
        </w:tc>
        <w:tc>
          <w:tcPr>
            <w:tcW w:w="3199" w:type="pc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7BDF22" w14:textId="77777777" w:rsidR="00DC7778" w:rsidRPr="00BC628D" w:rsidRDefault="00DC7778" w:rsidP="00F1528D">
            <w:pPr>
              <w:pStyle w:val="HTML"/>
              <w:tabs>
                <w:tab w:val="left" w:pos="459"/>
              </w:tabs>
              <w:spacing w:after="240"/>
              <w:jc w:val="both"/>
              <w:rPr>
                <w:rFonts w:ascii="Times New Roman" w:hAnsi="Times New Roman" w:cs="Times New Roman"/>
                <w:sz w:val="22"/>
                <w:szCs w:val="22"/>
              </w:rPr>
            </w:pPr>
            <w:r w:rsidRPr="0018129C">
              <w:rPr>
                <w:rFonts w:ascii="Times New Roman" w:hAnsi="Times New Roman" w:cs="Times New Roman"/>
                <w:sz w:val="22"/>
                <w:szCs w:val="22"/>
              </w:rPr>
              <w:t>В случае если в извещении о проведении закупки установлены требования об обеспечении гарантийных обязательств,</w:t>
            </w:r>
            <w:r>
              <w:rPr>
                <w:rFonts w:ascii="Times New Roman" w:hAnsi="Times New Roman" w:cs="Times New Roman"/>
                <w:sz w:val="22"/>
                <w:szCs w:val="22"/>
              </w:rPr>
              <w:t xml:space="preserve"> г</w:t>
            </w:r>
            <w:r w:rsidRPr="00DF0811">
              <w:rPr>
                <w:rFonts w:ascii="Times New Roman" w:hAnsi="Times New Roman" w:cs="Times New Roman"/>
                <w:sz w:val="22"/>
                <w:szCs w:val="22"/>
              </w:rPr>
              <w:t>арантийные обязательства могут обеспечиваться предоставлением независимой гарантии, соответствующей требованиям статьи 45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Pr>
                <w:rFonts w:ascii="Times New Roman" w:hAnsi="Times New Roman" w:cs="Times New Roman"/>
                <w:sz w:val="22"/>
                <w:szCs w:val="22"/>
              </w:rPr>
              <w:t xml:space="preserve">, </w:t>
            </w:r>
            <w:r w:rsidRPr="00BC628D">
              <w:rPr>
                <w:rFonts w:ascii="Times New Roman" w:hAnsi="Times New Roman" w:cs="Times New Roman"/>
                <w:sz w:val="22"/>
                <w:szCs w:val="22"/>
              </w:rPr>
              <w:t>а именно:</w:t>
            </w:r>
          </w:p>
          <w:p w14:paraId="032BF32C" w14:textId="77777777" w:rsidR="00DC7778" w:rsidRPr="00BC628D" w:rsidRDefault="00DC7778" w:rsidP="00F1528D">
            <w:pPr>
              <w:pStyle w:val="HTML"/>
              <w:tabs>
                <w:tab w:val="left" w:pos="459"/>
              </w:tabs>
              <w:jc w:val="both"/>
              <w:rPr>
                <w:rFonts w:ascii="Times New Roman" w:hAnsi="Times New Roman" w:cs="Times New Roman"/>
                <w:sz w:val="22"/>
                <w:szCs w:val="22"/>
              </w:rPr>
            </w:pPr>
            <w:r w:rsidRPr="00BC628D">
              <w:rPr>
                <w:rFonts w:ascii="Times New Roman" w:hAnsi="Times New Roman" w:cs="Times New Roman"/>
                <w:sz w:val="22"/>
                <w:szCs w:val="22"/>
              </w:rPr>
              <w:t>Получатель:</w:t>
            </w:r>
          </w:p>
          <w:p w14:paraId="481C8DF7" w14:textId="77777777" w:rsidR="00DC7778" w:rsidRPr="00BC628D" w:rsidRDefault="00DC7778" w:rsidP="00F1528D">
            <w:pPr>
              <w:pStyle w:val="HTML"/>
              <w:tabs>
                <w:tab w:val="left" w:pos="459"/>
              </w:tabs>
              <w:jc w:val="both"/>
              <w:rPr>
                <w:rFonts w:ascii="Times New Roman" w:hAnsi="Times New Roman" w:cs="Times New Roman"/>
                <w:sz w:val="22"/>
                <w:szCs w:val="22"/>
              </w:rPr>
            </w:pPr>
            <w:r w:rsidRPr="00BC628D">
              <w:rPr>
                <w:rFonts w:ascii="Times New Roman" w:hAnsi="Times New Roman" w:cs="Times New Roman"/>
                <w:sz w:val="22"/>
                <w:szCs w:val="22"/>
              </w:rPr>
              <w:t>ИНН 5408106348 КПП 540801001</w:t>
            </w:r>
          </w:p>
          <w:p w14:paraId="0A7F124E" w14:textId="77777777" w:rsidR="00DC7778" w:rsidRPr="00BC628D" w:rsidRDefault="00DC7778" w:rsidP="00F1528D">
            <w:pPr>
              <w:pStyle w:val="HTML"/>
              <w:tabs>
                <w:tab w:val="left" w:pos="459"/>
              </w:tabs>
              <w:jc w:val="both"/>
              <w:rPr>
                <w:rFonts w:ascii="Times New Roman" w:hAnsi="Times New Roman" w:cs="Times New Roman"/>
                <w:sz w:val="22"/>
                <w:szCs w:val="22"/>
              </w:rPr>
            </w:pPr>
            <w:r w:rsidRPr="00BC628D">
              <w:rPr>
                <w:rFonts w:ascii="Times New Roman" w:hAnsi="Times New Roman" w:cs="Times New Roman"/>
                <w:sz w:val="22"/>
                <w:szCs w:val="22"/>
              </w:rPr>
              <w:t xml:space="preserve">УФК по Новосибирской области </w:t>
            </w:r>
          </w:p>
          <w:p w14:paraId="47EDEF16" w14:textId="77777777" w:rsidR="00DC7778" w:rsidRPr="00BC628D" w:rsidRDefault="00DC7778" w:rsidP="00F1528D">
            <w:pPr>
              <w:pStyle w:val="HTML"/>
              <w:tabs>
                <w:tab w:val="left" w:pos="459"/>
              </w:tabs>
              <w:jc w:val="both"/>
              <w:rPr>
                <w:rFonts w:ascii="Times New Roman" w:hAnsi="Times New Roman" w:cs="Times New Roman"/>
                <w:sz w:val="22"/>
                <w:szCs w:val="22"/>
              </w:rPr>
            </w:pPr>
            <w:r w:rsidRPr="00BC628D">
              <w:rPr>
                <w:rFonts w:ascii="Times New Roman" w:hAnsi="Times New Roman" w:cs="Times New Roman"/>
                <w:sz w:val="22"/>
                <w:szCs w:val="22"/>
              </w:rPr>
              <w:t xml:space="preserve">(ФГБУ «НМИЦ им. </w:t>
            </w:r>
            <w:proofErr w:type="spellStart"/>
            <w:r w:rsidRPr="00BC628D">
              <w:rPr>
                <w:rFonts w:ascii="Times New Roman" w:hAnsi="Times New Roman" w:cs="Times New Roman"/>
                <w:sz w:val="22"/>
                <w:szCs w:val="22"/>
              </w:rPr>
              <w:t>ак</w:t>
            </w:r>
            <w:proofErr w:type="spellEnd"/>
            <w:r w:rsidRPr="00BC628D">
              <w:rPr>
                <w:rFonts w:ascii="Times New Roman" w:hAnsi="Times New Roman" w:cs="Times New Roman"/>
                <w:sz w:val="22"/>
                <w:szCs w:val="22"/>
              </w:rPr>
              <w:t xml:space="preserve">. Е.Н. Мешалкина» Минздрава России л/с 20516X68950) </w:t>
            </w:r>
          </w:p>
          <w:p w14:paraId="0DF9F40A" w14:textId="77777777" w:rsidR="00DC7778" w:rsidRPr="00BC628D" w:rsidRDefault="00DC7778" w:rsidP="00F1528D">
            <w:pPr>
              <w:pStyle w:val="HTML"/>
              <w:tabs>
                <w:tab w:val="left" w:pos="459"/>
              </w:tabs>
              <w:jc w:val="both"/>
              <w:rPr>
                <w:rFonts w:ascii="Times New Roman" w:hAnsi="Times New Roman" w:cs="Times New Roman"/>
                <w:sz w:val="22"/>
                <w:szCs w:val="22"/>
              </w:rPr>
            </w:pPr>
            <w:r w:rsidRPr="00BC628D">
              <w:rPr>
                <w:rFonts w:ascii="Times New Roman" w:hAnsi="Times New Roman" w:cs="Times New Roman"/>
                <w:sz w:val="22"/>
                <w:szCs w:val="22"/>
              </w:rPr>
              <w:t>Банк получателя:</w:t>
            </w:r>
          </w:p>
          <w:p w14:paraId="4913DD54" w14:textId="77777777" w:rsidR="00DC7778" w:rsidRPr="00BC628D" w:rsidRDefault="00DC7778" w:rsidP="00F1528D">
            <w:pPr>
              <w:pStyle w:val="HTML"/>
              <w:tabs>
                <w:tab w:val="left" w:pos="459"/>
              </w:tabs>
              <w:jc w:val="both"/>
              <w:rPr>
                <w:rFonts w:ascii="Times New Roman" w:hAnsi="Times New Roman" w:cs="Times New Roman"/>
                <w:sz w:val="22"/>
                <w:szCs w:val="22"/>
              </w:rPr>
            </w:pPr>
            <w:r w:rsidRPr="00BC628D">
              <w:rPr>
                <w:rFonts w:ascii="Times New Roman" w:hAnsi="Times New Roman" w:cs="Times New Roman"/>
                <w:sz w:val="22"/>
                <w:szCs w:val="22"/>
              </w:rPr>
              <w:t>СИБИРСКОЕ ГУ БАНКА РОССИИ// УФК по Новосибирской области г. Новосибирск</w:t>
            </w:r>
          </w:p>
          <w:p w14:paraId="1A1EB41D" w14:textId="77777777" w:rsidR="00DC7778" w:rsidRPr="00BC628D" w:rsidRDefault="00DC7778" w:rsidP="00F1528D">
            <w:pPr>
              <w:pStyle w:val="HTML"/>
              <w:tabs>
                <w:tab w:val="left" w:pos="459"/>
              </w:tabs>
              <w:jc w:val="both"/>
              <w:rPr>
                <w:rFonts w:ascii="Times New Roman" w:hAnsi="Times New Roman" w:cs="Times New Roman"/>
                <w:sz w:val="22"/>
                <w:szCs w:val="22"/>
              </w:rPr>
            </w:pPr>
            <w:r w:rsidRPr="00BC628D">
              <w:rPr>
                <w:rFonts w:ascii="Times New Roman" w:hAnsi="Times New Roman" w:cs="Times New Roman"/>
                <w:sz w:val="22"/>
                <w:szCs w:val="22"/>
              </w:rPr>
              <w:t>БИК 015004950</w:t>
            </w:r>
          </w:p>
          <w:p w14:paraId="26F072C9" w14:textId="77777777" w:rsidR="00DC7778" w:rsidRPr="00BC628D" w:rsidRDefault="00DC7778" w:rsidP="00F1528D">
            <w:pPr>
              <w:pStyle w:val="HTML"/>
              <w:tabs>
                <w:tab w:val="left" w:pos="459"/>
              </w:tabs>
              <w:jc w:val="both"/>
              <w:rPr>
                <w:rFonts w:ascii="Times New Roman" w:hAnsi="Times New Roman" w:cs="Times New Roman"/>
                <w:sz w:val="22"/>
                <w:szCs w:val="22"/>
              </w:rPr>
            </w:pPr>
            <w:r w:rsidRPr="00BC628D">
              <w:rPr>
                <w:rFonts w:ascii="Times New Roman" w:hAnsi="Times New Roman" w:cs="Times New Roman"/>
                <w:sz w:val="22"/>
                <w:szCs w:val="22"/>
              </w:rPr>
              <w:t>К/с 40102810445370000043</w:t>
            </w:r>
          </w:p>
          <w:p w14:paraId="71704FF9" w14:textId="77777777" w:rsidR="00DC7778" w:rsidRPr="00BC628D" w:rsidRDefault="00DC7778" w:rsidP="00F1528D">
            <w:pPr>
              <w:pStyle w:val="HTML"/>
              <w:tabs>
                <w:tab w:val="left" w:pos="459"/>
              </w:tabs>
              <w:jc w:val="both"/>
              <w:rPr>
                <w:rFonts w:ascii="Times New Roman" w:hAnsi="Times New Roman" w:cs="Times New Roman"/>
                <w:sz w:val="22"/>
                <w:szCs w:val="22"/>
              </w:rPr>
            </w:pPr>
            <w:r w:rsidRPr="00BC628D">
              <w:rPr>
                <w:rFonts w:ascii="Times New Roman" w:hAnsi="Times New Roman" w:cs="Times New Roman"/>
                <w:sz w:val="22"/>
                <w:szCs w:val="22"/>
              </w:rPr>
              <w:t xml:space="preserve">Р/с 03214643000000015100   </w:t>
            </w:r>
          </w:p>
          <w:p w14:paraId="7CB9042E" w14:textId="77777777" w:rsidR="00DC7778" w:rsidRPr="00DF0811" w:rsidRDefault="00DC7778" w:rsidP="00F1528D">
            <w:pPr>
              <w:pStyle w:val="HTML"/>
              <w:tabs>
                <w:tab w:val="left" w:pos="459"/>
              </w:tabs>
              <w:spacing w:after="240"/>
              <w:jc w:val="both"/>
              <w:rPr>
                <w:rFonts w:ascii="Times New Roman" w:hAnsi="Times New Roman" w:cs="Times New Roman"/>
                <w:sz w:val="22"/>
                <w:szCs w:val="22"/>
              </w:rPr>
            </w:pPr>
            <w:r w:rsidRPr="00BC628D">
              <w:rPr>
                <w:rFonts w:ascii="Times New Roman" w:hAnsi="Times New Roman" w:cs="Times New Roman"/>
                <w:sz w:val="22"/>
                <w:szCs w:val="22"/>
              </w:rPr>
              <w:t>В поле «Назначение платежа» должно быть указание на КБК 00000000000000000510, а также на контракт, в обеспечение исполнения которого вносится данная сумма, путем указания на номер контакта (при наличии), номер извещения об осуществлении закупки, предмет контракта, и, по возможности, ссылку на протокол, составленный в ходе закупки, как основание заключения контракта.</w:t>
            </w:r>
          </w:p>
          <w:p w14:paraId="60E25B4F" w14:textId="77777777" w:rsidR="00DC7778" w:rsidRPr="00DF0811" w:rsidRDefault="00DC7778" w:rsidP="00F1528D">
            <w:pPr>
              <w:pStyle w:val="HTML"/>
              <w:tabs>
                <w:tab w:val="left" w:pos="459"/>
              </w:tabs>
              <w:spacing w:after="240"/>
              <w:jc w:val="both"/>
              <w:rPr>
                <w:rFonts w:ascii="Times New Roman" w:hAnsi="Times New Roman" w:cs="Times New Roman"/>
                <w:sz w:val="22"/>
                <w:szCs w:val="22"/>
              </w:rPr>
            </w:pPr>
            <w:r w:rsidRPr="00DF0811">
              <w:rPr>
                <w:rFonts w:ascii="Times New Roman" w:hAnsi="Times New Roman" w:cs="Times New Roman"/>
                <w:sz w:val="22"/>
                <w:szCs w:val="22"/>
              </w:rPr>
              <w:t xml:space="preserve">Способ обеспечения гарантийных обязательств, срок действия независимой гарантии определяются в соответствии с требованиями Закона 44-ФЗ участником </w:t>
            </w:r>
            <w:r>
              <w:rPr>
                <w:rFonts w:ascii="Times New Roman" w:hAnsi="Times New Roman" w:cs="Times New Roman"/>
                <w:sz w:val="22"/>
                <w:szCs w:val="22"/>
              </w:rPr>
              <w:t>закупки</w:t>
            </w:r>
            <w:r w:rsidRPr="00DF0811">
              <w:rPr>
                <w:rFonts w:ascii="Times New Roman" w:hAnsi="Times New Roman" w:cs="Times New Roman"/>
                <w:sz w:val="22"/>
                <w:szCs w:val="22"/>
              </w:rPr>
              <w:t xml:space="preserve">, с которым заключается контракт, самостоятельно. </w:t>
            </w:r>
          </w:p>
          <w:p w14:paraId="66D5D69D" w14:textId="77777777" w:rsidR="00DC7778" w:rsidRPr="00DF0811" w:rsidRDefault="00DC7778" w:rsidP="00F1528D">
            <w:pPr>
              <w:pStyle w:val="HTML"/>
              <w:tabs>
                <w:tab w:val="left" w:pos="459"/>
              </w:tabs>
              <w:spacing w:after="240"/>
              <w:jc w:val="both"/>
              <w:rPr>
                <w:rFonts w:ascii="Times New Roman" w:hAnsi="Times New Roman" w:cs="Times New Roman"/>
                <w:sz w:val="22"/>
                <w:szCs w:val="22"/>
              </w:rPr>
            </w:pPr>
            <w:r w:rsidRPr="00DF0811">
              <w:rPr>
                <w:rFonts w:ascii="Times New Roman" w:hAnsi="Times New Roman" w:cs="Times New Roman"/>
                <w:sz w:val="22"/>
                <w:szCs w:val="22"/>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w:t>
            </w:r>
            <w:r w:rsidRPr="00DF0811">
              <w:rPr>
                <w:rFonts w:ascii="Times New Roman" w:hAnsi="Times New Roman" w:cs="Times New Roman"/>
                <w:b/>
                <w:sz w:val="22"/>
                <w:szCs w:val="22"/>
              </w:rPr>
              <w:t>не менее чем на один месяц</w:t>
            </w:r>
            <w:r w:rsidRPr="00DF0811">
              <w:rPr>
                <w:rFonts w:ascii="Times New Roman" w:hAnsi="Times New Roman" w:cs="Times New Roman"/>
                <w:sz w:val="22"/>
                <w:szCs w:val="22"/>
              </w:rPr>
              <w:t>, в том числе в случае его изменения в соответствии со статьей 95 Закона 44-ФЗ.</w:t>
            </w:r>
          </w:p>
          <w:p w14:paraId="34973AF9" w14:textId="13BF04A8" w:rsidR="00DC7778" w:rsidRPr="00DF0811" w:rsidRDefault="00DC7778" w:rsidP="00F1528D">
            <w:pPr>
              <w:pStyle w:val="HTML"/>
              <w:tabs>
                <w:tab w:val="left" w:pos="459"/>
              </w:tabs>
              <w:spacing w:after="240"/>
              <w:jc w:val="both"/>
              <w:rPr>
                <w:rFonts w:ascii="Times New Roman" w:hAnsi="Times New Roman" w:cs="Times New Roman"/>
                <w:sz w:val="22"/>
                <w:szCs w:val="22"/>
              </w:rPr>
            </w:pPr>
            <w:r w:rsidRPr="00DF0811">
              <w:rPr>
                <w:rFonts w:ascii="Times New Roman" w:hAnsi="Times New Roman" w:cs="Times New Roman"/>
                <w:sz w:val="22"/>
                <w:szCs w:val="22"/>
              </w:rPr>
              <w:t xml:space="preserve">Участник </w:t>
            </w:r>
            <w:r>
              <w:rPr>
                <w:rFonts w:ascii="Times New Roman" w:hAnsi="Times New Roman" w:cs="Times New Roman"/>
                <w:sz w:val="22"/>
                <w:szCs w:val="22"/>
              </w:rPr>
              <w:t>закупки</w:t>
            </w:r>
            <w:r w:rsidRPr="00DF0811">
              <w:rPr>
                <w:rFonts w:ascii="Times New Roman" w:hAnsi="Times New Roman" w:cs="Times New Roman"/>
                <w:sz w:val="22"/>
                <w:szCs w:val="22"/>
              </w:rPr>
              <w:t xml:space="preserve">, с которым заключается контракт по результатам определения поставщика в соответствии с пунктом 1 части 1 статьи 30 Закона 44-ФЗ, освобождается от обеспечения гарантийных обязательств в случае предоставления таким участником </w:t>
            </w:r>
            <w:r>
              <w:rPr>
                <w:rFonts w:ascii="Times New Roman" w:hAnsi="Times New Roman" w:cs="Times New Roman"/>
                <w:sz w:val="22"/>
                <w:szCs w:val="22"/>
              </w:rPr>
              <w:t>закупки</w:t>
            </w:r>
            <w:r w:rsidRPr="00DF0811">
              <w:rPr>
                <w:rFonts w:ascii="Times New Roman" w:hAnsi="Times New Roman" w:cs="Times New Roman"/>
                <w:sz w:val="22"/>
                <w:szCs w:val="22"/>
              </w:rPr>
              <w:t xml:space="preserve">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w:t>
            </w:r>
            <w:r>
              <w:rPr>
                <w:rFonts w:ascii="Times New Roman" w:hAnsi="Times New Roman" w:cs="Times New Roman"/>
                <w:sz w:val="22"/>
                <w:szCs w:val="22"/>
              </w:rPr>
              <w:t>закупке</w:t>
            </w:r>
            <w:r w:rsidRPr="00DF0811">
              <w:rPr>
                <w:rFonts w:ascii="Times New Roman" w:hAnsi="Times New Roman" w:cs="Times New Roman"/>
                <w:sz w:val="22"/>
                <w:szCs w:val="22"/>
              </w:rPr>
              <w:t xml:space="preserve"> трех контрактов, исполненных без применения к такому участнику неустоек (штрафов, пеней). При этом сумма цен таких контрактов должна составлять не менее максимально</w:t>
            </w:r>
            <w:r w:rsidR="00C221F5">
              <w:rPr>
                <w:rFonts w:ascii="Times New Roman" w:hAnsi="Times New Roman" w:cs="Times New Roman"/>
                <w:sz w:val="22"/>
                <w:szCs w:val="22"/>
              </w:rPr>
              <w:t>го значения</w:t>
            </w:r>
            <w:r w:rsidRPr="00DF0811">
              <w:rPr>
                <w:rFonts w:ascii="Times New Roman" w:hAnsi="Times New Roman" w:cs="Times New Roman"/>
                <w:sz w:val="22"/>
                <w:szCs w:val="22"/>
              </w:rPr>
              <w:t xml:space="preserve"> цены контракта, указанно</w:t>
            </w:r>
            <w:r w:rsidR="00C221F5">
              <w:rPr>
                <w:rFonts w:ascii="Times New Roman" w:hAnsi="Times New Roman" w:cs="Times New Roman"/>
                <w:sz w:val="22"/>
                <w:szCs w:val="22"/>
              </w:rPr>
              <w:t>го</w:t>
            </w:r>
            <w:r w:rsidRPr="00DF0811">
              <w:rPr>
                <w:rFonts w:ascii="Times New Roman" w:hAnsi="Times New Roman" w:cs="Times New Roman"/>
                <w:sz w:val="22"/>
                <w:szCs w:val="22"/>
              </w:rPr>
              <w:t xml:space="preserve"> в извещении об осуществлении </w:t>
            </w:r>
            <w:r>
              <w:rPr>
                <w:rFonts w:ascii="Times New Roman" w:hAnsi="Times New Roman" w:cs="Times New Roman"/>
                <w:sz w:val="22"/>
                <w:szCs w:val="22"/>
              </w:rPr>
              <w:t>закупки</w:t>
            </w:r>
            <w:r w:rsidRPr="00DF0811">
              <w:rPr>
                <w:rFonts w:ascii="Times New Roman" w:hAnsi="Times New Roman" w:cs="Times New Roman"/>
                <w:sz w:val="22"/>
                <w:szCs w:val="22"/>
              </w:rPr>
              <w:t>.</w:t>
            </w:r>
          </w:p>
          <w:p w14:paraId="28BE388D" w14:textId="77777777" w:rsidR="00DC7778" w:rsidRPr="00DF0811" w:rsidRDefault="00DC7778" w:rsidP="00F1528D">
            <w:pPr>
              <w:pStyle w:val="HTML"/>
              <w:tabs>
                <w:tab w:val="left" w:pos="459"/>
              </w:tabs>
              <w:spacing w:after="240"/>
              <w:jc w:val="both"/>
              <w:rPr>
                <w:rFonts w:ascii="Times New Roman" w:hAnsi="Times New Roman" w:cs="Times New Roman"/>
                <w:sz w:val="22"/>
                <w:szCs w:val="22"/>
              </w:rPr>
            </w:pPr>
            <w:r w:rsidRPr="00DF0811">
              <w:rPr>
                <w:rFonts w:ascii="Times New Roman" w:hAnsi="Times New Roman" w:cs="Times New Roman"/>
                <w:sz w:val="22"/>
                <w:szCs w:val="22"/>
              </w:rPr>
              <w:t xml:space="preserve">Оформление документа о приемке (за исключением отдельного этапа исполнения контракта) </w:t>
            </w:r>
            <w:r>
              <w:rPr>
                <w:rFonts w:ascii="Times New Roman" w:hAnsi="Times New Roman" w:cs="Times New Roman"/>
                <w:sz w:val="22"/>
                <w:szCs w:val="22"/>
              </w:rPr>
              <w:t>поставленных товаров</w:t>
            </w:r>
            <w:r w:rsidRPr="00DF0811">
              <w:rPr>
                <w:rFonts w:ascii="Times New Roman" w:hAnsi="Times New Roman" w:cs="Times New Roman"/>
                <w:sz w:val="22"/>
                <w:szCs w:val="22"/>
              </w:rPr>
              <w:t xml:space="preserve"> осуществляется после предоставления </w:t>
            </w:r>
            <w:r>
              <w:rPr>
                <w:rFonts w:ascii="Times New Roman" w:hAnsi="Times New Roman" w:cs="Times New Roman"/>
                <w:sz w:val="22"/>
                <w:szCs w:val="22"/>
              </w:rPr>
              <w:t xml:space="preserve">поставщиком </w:t>
            </w:r>
            <w:r w:rsidRPr="00DF0811">
              <w:rPr>
                <w:rFonts w:ascii="Times New Roman" w:hAnsi="Times New Roman" w:cs="Times New Roman"/>
                <w:sz w:val="22"/>
                <w:szCs w:val="22"/>
              </w:rPr>
              <w:t>такого обеспечения в соответствии с Законом 44-ФЗ в порядке и в сроки, которые установлены контрактом.</w:t>
            </w:r>
          </w:p>
          <w:p w14:paraId="248C47C0" w14:textId="77777777" w:rsidR="00DC7778" w:rsidRPr="00084CBD" w:rsidRDefault="00DC7778" w:rsidP="00F1528D">
            <w:pPr>
              <w:pStyle w:val="HTML"/>
              <w:tabs>
                <w:tab w:val="left" w:pos="459"/>
              </w:tabs>
              <w:jc w:val="both"/>
              <w:rPr>
                <w:rFonts w:ascii="Times New Roman" w:hAnsi="Times New Roman" w:cs="Times New Roman"/>
                <w:b/>
                <w:sz w:val="22"/>
                <w:szCs w:val="22"/>
                <w:highlight w:val="green"/>
              </w:rPr>
            </w:pPr>
            <w:r w:rsidRPr="00DF0811">
              <w:rPr>
                <w:rFonts w:ascii="Times New Roman" w:hAnsi="Times New Roman" w:cs="Times New Roman"/>
                <w:sz w:val="22"/>
                <w:szCs w:val="22"/>
              </w:rPr>
              <w:t>Обеспе</w:t>
            </w:r>
            <w:r>
              <w:rPr>
                <w:rFonts w:ascii="Times New Roman" w:hAnsi="Times New Roman" w:cs="Times New Roman"/>
                <w:sz w:val="22"/>
                <w:szCs w:val="22"/>
              </w:rPr>
              <w:t xml:space="preserve">чение гарантийных обязательств </w:t>
            </w:r>
            <w:r w:rsidRPr="00DF0811">
              <w:rPr>
                <w:rFonts w:ascii="Times New Roman" w:hAnsi="Times New Roman" w:cs="Times New Roman"/>
                <w:sz w:val="22"/>
                <w:szCs w:val="22"/>
              </w:rPr>
              <w:t xml:space="preserve">не </w:t>
            </w:r>
            <w:r>
              <w:rPr>
                <w:rFonts w:ascii="Times New Roman" w:hAnsi="Times New Roman" w:cs="Times New Roman"/>
                <w:sz w:val="22"/>
                <w:szCs w:val="22"/>
              </w:rPr>
              <w:t>требуется</w:t>
            </w:r>
            <w:r w:rsidRPr="00DF0811">
              <w:rPr>
                <w:rFonts w:ascii="Times New Roman" w:hAnsi="Times New Roman" w:cs="Times New Roman"/>
                <w:sz w:val="22"/>
                <w:szCs w:val="22"/>
              </w:rPr>
              <w:t xml:space="preserve"> в случае заключения контракта с участником </w:t>
            </w:r>
            <w:r>
              <w:rPr>
                <w:rFonts w:ascii="Times New Roman" w:hAnsi="Times New Roman" w:cs="Times New Roman"/>
                <w:sz w:val="22"/>
                <w:szCs w:val="22"/>
              </w:rPr>
              <w:t>закупки</w:t>
            </w:r>
            <w:r w:rsidRPr="00DF0811">
              <w:rPr>
                <w:rFonts w:ascii="Times New Roman" w:hAnsi="Times New Roman" w:cs="Times New Roman"/>
                <w:sz w:val="22"/>
                <w:szCs w:val="22"/>
              </w:rPr>
              <w:t>, который является казенным учреждением.</w:t>
            </w:r>
          </w:p>
        </w:tc>
      </w:tr>
    </w:tbl>
    <w:p w14:paraId="5EBC1EF2" w14:textId="77777777" w:rsidR="003E6D7A" w:rsidRPr="003B21BD" w:rsidRDefault="003E6D7A" w:rsidP="003E6D7A">
      <w:pPr>
        <w:spacing w:after="0" w:line="240" w:lineRule="auto"/>
        <w:jc w:val="center"/>
        <w:rPr>
          <w:rFonts w:ascii="Times New Roman" w:hAnsi="Times New Roman" w:cs="Times New Roman"/>
        </w:rPr>
      </w:pPr>
    </w:p>
    <w:p w14:paraId="36E6D010" w14:textId="77777777" w:rsidR="003E6D7A" w:rsidRPr="003E6D7A" w:rsidRDefault="003E6D7A" w:rsidP="003E6D7A"/>
    <w:sectPr w:rsidR="003E6D7A" w:rsidRPr="003E6D7A" w:rsidSect="00542CCB">
      <w:footerReference w:type="default" r:id="rId19"/>
      <w:pgSz w:w="11906" w:h="16838"/>
      <w:pgMar w:top="567" w:right="850" w:bottom="1134" w:left="1701" w:header="708" w:footer="4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1C4B9" w14:textId="77777777" w:rsidR="005C6CC0" w:rsidRDefault="005C6CC0" w:rsidP="009B5A1E">
      <w:pPr>
        <w:spacing w:after="0" w:line="240" w:lineRule="auto"/>
      </w:pPr>
      <w:r>
        <w:separator/>
      </w:r>
    </w:p>
  </w:endnote>
  <w:endnote w:type="continuationSeparator" w:id="0">
    <w:p w14:paraId="20026A96" w14:textId="77777777" w:rsidR="005C6CC0" w:rsidRDefault="005C6CC0" w:rsidP="009B5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52907"/>
      <w:docPartObj>
        <w:docPartGallery w:val="Page Numbers (Bottom of Page)"/>
        <w:docPartUnique/>
      </w:docPartObj>
    </w:sdtPr>
    <w:sdtEndPr/>
    <w:sdtContent>
      <w:p w14:paraId="774FCB9B" w14:textId="2A9938DE" w:rsidR="00EA620C" w:rsidRDefault="00EA620C">
        <w:pPr>
          <w:pStyle w:val="af1"/>
          <w:jc w:val="right"/>
        </w:pPr>
        <w:r w:rsidRPr="009B5A1E">
          <w:rPr>
            <w:rFonts w:ascii="Times New Roman" w:hAnsi="Times New Roman" w:cs="Times New Roman"/>
          </w:rPr>
          <w:fldChar w:fldCharType="begin"/>
        </w:r>
        <w:r w:rsidRPr="009B5A1E">
          <w:rPr>
            <w:rFonts w:ascii="Times New Roman" w:hAnsi="Times New Roman" w:cs="Times New Roman"/>
          </w:rPr>
          <w:instrText>PAGE   \* MERGEFORMAT</w:instrText>
        </w:r>
        <w:r w:rsidRPr="009B5A1E">
          <w:rPr>
            <w:rFonts w:ascii="Times New Roman" w:hAnsi="Times New Roman" w:cs="Times New Roman"/>
          </w:rPr>
          <w:fldChar w:fldCharType="separate"/>
        </w:r>
        <w:r w:rsidR="00F36960">
          <w:rPr>
            <w:rFonts w:ascii="Times New Roman" w:hAnsi="Times New Roman" w:cs="Times New Roman"/>
            <w:noProof/>
          </w:rPr>
          <w:t>5</w:t>
        </w:r>
        <w:r w:rsidRPr="009B5A1E">
          <w:rPr>
            <w:rFonts w:ascii="Times New Roman" w:hAnsi="Times New Roman" w:cs="Times New Roman"/>
          </w:rPr>
          <w:fldChar w:fldCharType="end"/>
        </w:r>
      </w:p>
    </w:sdtContent>
  </w:sdt>
  <w:p w14:paraId="54FF870F" w14:textId="77777777" w:rsidR="00EA620C" w:rsidRDefault="00EA620C">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51C15" w14:textId="77777777" w:rsidR="005C6CC0" w:rsidRDefault="005C6CC0" w:rsidP="009B5A1E">
      <w:pPr>
        <w:spacing w:after="0" w:line="240" w:lineRule="auto"/>
      </w:pPr>
      <w:r>
        <w:separator/>
      </w:r>
    </w:p>
  </w:footnote>
  <w:footnote w:type="continuationSeparator" w:id="0">
    <w:p w14:paraId="54F1769C" w14:textId="77777777" w:rsidR="005C6CC0" w:rsidRDefault="005C6CC0" w:rsidP="009B5A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65F1"/>
    <w:multiLevelType w:val="hybridMultilevel"/>
    <w:tmpl w:val="5776A3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753565"/>
    <w:multiLevelType w:val="hybridMultilevel"/>
    <w:tmpl w:val="D360C7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042502"/>
    <w:multiLevelType w:val="multilevel"/>
    <w:tmpl w:val="96B8B708"/>
    <w:lvl w:ilvl="0">
      <w:start w:val="1"/>
      <w:numFmt w:val="decimal"/>
      <w:lvlText w:val="%1."/>
      <w:lvlJc w:val="left"/>
      <w:pPr>
        <w:ind w:left="2628" w:hanging="360"/>
      </w:pPr>
      <w:rPr>
        <w:rFonts w:ascii="Times New Roman" w:hAnsi="Times New Roman" w:cs="Times New Roman" w:hint="default"/>
        <w:color w:val="auto"/>
      </w:rPr>
    </w:lvl>
    <w:lvl w:ilvl="1">
      <w:start w:val="6"/>
      <w:numFmt w:val="decimal"/>
      <w:isLgl/>
      <w:lvlText w:val="%1.%2."/>
      <w:lvlJc w:val="left"/>
      <w:pPr>
        <w:ind w:left="3479" w:hanging="360"/>
      </w:pPr>
      <w:rPr>
        <w:rFonts w:hint="default"/>
      </w:rPr>
    </w:lvl>
    <w:lvl w:ilvl="2">
      <w:start w:val="1"/>
      <w:numFmt w:val="decimal"/>
      <w:isLgl/>
      <w:lvlText w:val="%1.%2.%3."/>
      <w:lvlJc w:val="left"/>
      <w:pPr>
        <w:ind w:left="3528" w:hanging="720"/>
      </w:pPr>
      <w:rPr>
        <w:rFonts w:hint="default"/>
      </w:rPr>
    </w:lvl>
    <w:lvl w:ilvl="3">
      <w:start w:val="1"/>
      <w:numFmt w:val="decimal"/>
      <w:isLgl/>
      <w:lvlText w:val="%1.%2.%3.%4."/>
      <w:lvlJc w:val="left"/>
      <w:pPr>
        <w:ind w:left="3528" w:hanging="720"/>
      </w:pPr>
      <w:rPr>
        <w:rFonts w:hint="default"/>
      </w:rPr>
    </w:lvl>
    <w:lvl w:ilvl="4">
      <w:start w:val="1"/>
      <w:numFmt w:val="decimal"/>
      <w:isLgl/>
      <w:lvlText w:val="%1.%2.%3.%4.%5."/>
      <w:lvlJc w:val="left"/>
      <w:pPr>
        <w:ind w:left="3888" w:hanging="1080"/>
      </w:pPr>
      <w:rPr>
        <w:rFonts w:hint="default"/>
      </w:rPr>
    </w:lvl>
    <w:lvl w:ilvl="5">
      <w:start w:val="1"/>
      <w:numFmt w:val="decimal"/>
      <w:isLgl/>
      <w:lvlText w:val="%1.%2.%3.%4.%5.%6."/>
      <w:lvlJc w:val="left"/>
      <w:pPr>
        <w:ind w:left="3888" w:hanging="1080"/>
      </w:pPr>
      <w:rPr>
        <w:rFonts w:hint="default"/>
      </w:rPr>
    </w:lvl>
    <w:lvl w:ilvl="6">
      <w:start w:val="1"/>
      <w:numFmt w:val="decimal"/>
      <w:isLgl/>
      <w:lvlText w:val="%1.%2.%3.%4.%5.%6.%7."/>
      <w:lvlJc w:val="left"/>
      <w:pPr>
        <w:ind w:left="4248"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608" w:hanging="1800"/>
      </w:pPr>
      <w:rPr>
        <w:rFonts w:hint="default"/>
      </w:rPr>
    </w:lvl>
  </w:abstractNum>
  <w:abstractNum w:abstractNumId="3" w15:restartNumberingAfterBreak="0">
    <w:nsid w:val="1C4C56AF"/>
    <w:multiLevelType w:val="hybridMultilevel"/>
    <w:tmpl w:val="413612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1A27F8"/>
    <w:multiLevelType w:val="hybridMultilevel"/>
    <w:tmpl w:val="3DA201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1E18C6"/>
    <w:multiLevelType w:val="hybridMultilevel"/>
    <w:tmpl w:val="413612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4252A8B"/>
    <w:multiLevelType w:val="multilevel"/>
    <w:tmpl w:val="8A4ACFD8"/>
    <w:lvl w:ilvl="0">
      <w:start w:val="1"/>
      <w:numFmt w:val="decimal"/>
      <w:lvlText w:val="%1."/>
      <w:lvlJc w:val="left"/>
      <w:pPr>
        <w:ind w:left="785"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6"/>
  </w:num>
  <w:num w:numId="2">
    <w:abstractNumId w:val="2"/>
  </w:num>
  <w:num w:numId="3">
    <w:abstractNumId w:val="1"/>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7AE"/>
    <w:rsid w:val="0000647D"/>
    <w:rsid w:val="00012753"/>
    <w:rsid w:val="000233B2"/>
    <w:rsid w:val="0003426F"/>
    <w:rsid w:val="00034CF1"/>
    <w:rsid w:val="000366E0"/>
    <w:rsid w:val="00042F01"/>
    <w:rsid w:val="00065FDD"/>
    <w:rsid w:val="000832D5"/>
    <w:rsid w:val="00084CBD"/>
    <w:rsid w:val="00095B48"/>
    <w:rsid w:val="000A4F6A"/>
    <w:rsid w:val="000B16A5"/>
    <w:rsid w:val="000B46A7"/>
    <w:rsid w:val="000C6EE8"/>
    <w:rsid w:val="000D3464"/>
    <w:rsid w:val="000E2080"/>
    <w:rsid w:val="000E33D0"/>
    <w:rsid w:val="000E4207"/>
    <w:rsid w:val="000E4D19"/>
    <w:rsid w:val="000F7918"/>
    <w:rsid w:val="000F7C0C"/>
    <w:rsid w:val="00105119"/>
    <w:rsid w:val="00112DD1"/>
    <w:rsid w:val="00123D67"/>
    <w:rsid w:val="00124667"/>
    <w:rsid w:val="001415D1"/>
    <w:rsid w:val="00142B94"/>
    <w:rsid w:val="001437AE"/>
    <w:rsid w:val="00145B0D"/>
    <w:rsid w:val="0016388B"/>
    <w:rsid w:val="00164D30"/>
    <w:rsid w:val="00165998"/>
    <w:rsid w:val="00166FC6"/>
    <w:rsid w:val="0018129C"/>
    <w:rsid w:val="0018265E"/>
    <w:rsid w:val="001833F6"/>
    <w:rsid w:val="001866B9"/>
    <w:rsid w:val="00196BED"/>
    <w:rsid w:val="00197AB8"/>
    <w:rsid w:val="001A13D7"/>
    <w:rsid w:val="001A3ADD"/>
    <w:rsid w:val="001C7417"/>
    <w:rsid w:val="001E6E47"/>
    <w:rsid w:val="001E77D0"/>
    <w:rsid w:val="0021449F"/>
    <w:rsid w:val="00223C52"/>
    <w:rsid w:val="0023187B"/>
    <w:rsid w:val="002607EB"/>
    <w:rsid w:val="002B5348"/>
    <w:rsid w:val="002C03F5"/>
    <w:rsid w:val="002D716C"/>
    <w:rsid w:val="002E5139"/>
    <w:rsid w:val="002F6C2D"/>
    <w:rsid w:val="00321AD5"/>
    <w:rsid w:val="00333A25"/>
    <w:rsid w:val="00340C70"/>
    <w:rsid w:val="00347676"/>
    <w:rsid w:val="00355B93"/>
    <w:rsid w:val="00357C60"/>
    <w:rsid w:val="003826B4"/>
    <w:rsid w:val="00383CCF"/>
    <w:rsid w:val="003B21BD"/>
    <w:rsid w:val="003B3909"/>
    <w:rsid w:val="003B6FE5"/>
    <w:rsid w:val="003C4D56"/>
    <w:rsid w:val="003D1C13"/>
    <w:rsid w:val="003E6D7A"/>
    <w:rsid w:val="003F1122"/>
    <w:rsid w:val="004006C3"/>
    <w:rsid w:val="004142FC"/>
    <w:rsid w:val="00445CD3"/>
    <w:rsid w:val="00472140"/>
    <w:rsid w:val="004A67BD"/>
    <w:rsid w:val="004D672B"/>
    <w:rsid w:val="00507F79"/>
    <w:rsid w:val="005110A4"/>
    <w:rsid w:val="00542CCB"/>
    <w:rsid w:val="00543D0C"/>
    <w:rsid w:val="00546055"/>
    <w:rsid w:val="00555F9A"/>
    <w:rsid w:val="00561BA2"/>
    <w:rsid w:val="0057200E"/>
    <w:rsid w:val="0058715D"/>
    <w:rsid w:val="005A6184"/>
    <w:rsid w:val="005B0D78"/>
    <w:rsid w:val="005B1AE8"/>
    <w:rsid w:val="005C2383"/>
    <w:rsid w:val="005C6CC0"/>
    <w:rsid w:val="005E2FCA"/>
    <w:rsid w:val="005F033C"/>
    <w:rsid w:val="005F09AA"/>
    <w:rsid w:val="00603432"/>
    <w:rsid w:val="00605B4D"/>
    <w:rsid w:val="006148AC"/>
    <w:rsid w:val="00620425"/>
    <w:rsid w:val="00626DCF"/>
    <w:rsid w:val="006364EA"/>
    <w:rsid w:val="00646B0C"/>
    <w:rsid w:val="00657969"/>
    <w:rsid w:val="006646DA"/>
    <w:rsid w:val="00666ED5"/>
    <w:rsid w:val="00672EC5"/>
    <w:rsid w:val="0069328A"/>
    <w:rsid w:val="006B38A6"/>
    <w:rsid w:val="006B7EAA"/>
    <w:rsid w:val="006C5186"/>
    <w:rsid w:val="006C71DE"/>
    <w:rsid w:val="006D16A7"/>
    <w:rsid w:val="006E18F5"/>
    <w:rsid w:val="00706218"/>
    <w:rsid w:val="007103EE"/>
    <w:rsid w:val="00710E09"/>
    <w:rsid w:val="00720E33"/>
    <w:rsid w:val="00723196"/>
    <w:rsid w:val="007449AB"/>
    <w:rsid w:val="007514BE"/>
    <w:rsid w:val="00765EB4"/>
    <w:rsid w:val="00783CDB"/>
    <w:rsid w:val="007873AE"/>
    <w:rsid w:val="00790D5A"/>
    <w:rsid w:val="007B0F4E"/>
    <w:rsid w:val="007B5DC9"/>
    <w:rsid w:val="007C38AC"/>
    <w:rsid w:val="007D3030"/>
    <w:rsid w:val="007E1231"/>
    <w:rsid w:val="007F06C2"/>
    <w:rsid w:val="00801153"/>
    <w:rsid w:val="0080308B"/>
    <w:rsid w:val="0080758D"/>
    <w:rsid w:val="00821940"/>
    <w:rsid w:val="00835DA3"/>
    <w:rsid w:val="00845E0D"/>
    <w:rsid w:val="00846FF6"/>
    <w:rsid w:val="00847F89"/>
    <w:rsid w:val="00855E2F"/>
    <w:rsid w:val="00857642"/>
    <w:rsid w:val="00890372"/>
    <w:rsid w:val="008A0B93"/>
    <w:rsid w:val="008A3625"/>
    <w:rsid w:val="008B6C33"/>
    <w:rsid w:val="008C70A5"/>
    <w:rsid w:val="008D14D0"/>
    <w:rsid w:val="008D47F9"/>
    <w:rsid w:val="0090018D"/>
    <w:rsid w:val="009054E0"/>
    <w:rsid w:val="009162A0"/>
    <w:rsid w:val="009173F1"/>
    <w:rsid w:val="0094562C"/>
    <w:rsid w:val="009473F5"/>
    <w:rsid w:val="00947B54"/>
    <w:rsid w:val="00970E03"/>
    <w:rsid w:val="009727C8"/>
    <w:rsid w:val="00976915"/>
    <w:rsid w:val="00976BBC"/>
    <w:rsid w:val="00992A75"/>
    <w:rsid w:val="009A6FD5"/>
    <w:rsid w:val="009B30C5"/>
    <w:rsid w:val="009B55AA"/>
    <w:rsid w:val="009B5A1E"/>
    <w:rsid w:val="009E7B27"/>
    <w:rsid w:val="009F150E"/>
    <w:rsid w:val="00A113E1"/>
    <w:rsid w:val="00A2053A"/>
    <w:rsid w:val="00A22243"/>
    <w:rsid w:val="00A274E4"/>
    <w:rsid w:val="00A40ADC"/>
    <w:rsid w:val="00A449C1"/>
    <w:rsid w:val="00A454A6"/>
    <w:rsid w:val="00A55AAC"/>
    <w:rsid w:val="00A61AD2"/>
    <w:rsid w:val="00A775E7"/>
    <w:rsid w:val="00A974C2"/>
    <w:rsid w:val="00AA7569"/>
    <w:rsid w:val="00AB4C4A"/>
    <w:rsid w:val="00AD5B21"/>
    <w:rsid w:val="00AF6F63"/>
    <w:rsid w:val="00B0411A"/>
    <w:rsid w:val="00B13BD7"/>
    <w:rsid w:val="00B14465"/>
    <w:rsid w:val="00B216C7"/>
    <w:rsid w:val="00B21932"/>
    <w:rsid w:val="00B24DE3"/>
    <w:rsid w:val="00B2755B"/>
    <w:rsid w:val="00B359F8"/>
    <w:rsid w:val="00B41AE7"/>
    <w:rsid w:val="00B45A81"/>
    <w:rsid w:val="00B54857"/>
    <w:rsid w:val="00B850A6"/>
    <w:rsid w:val="00B92DB9"/>
    <w:rsid w:val="00B9383C"/>
    <w:rsid w:val="00BB66F1"/>
    <w:rsid w:val="00BC0019"/>
    <w:rsid w:val="00BC7C24"/>
    <w:rsid w:val="00BD15F7"/>
    <w:rsid w:val="00BD39D5"/>
    <w:rsid w:val="00BE03DE"/>
    <w:rsid w:val="00C03801"/>
    <w:rsid w:val="00C14E9E"/>
    <w:rsid w:val="00C216DF"/>
    <w:rsid w:val="00C221EA"/>
    <w:rsid w:val="00C221F5"/>
    <w:rsid w:val="00C36A55"/>
    <w:rsid w:val="00C575DB"/>
    <w:rsid w:val="00C63EC6"/>
    <w:rsid w:val="00C671DC"/>
    <w:rsid w:val="00C67841"/>
    <w:rsid w:val="00C71F4F"/>
    <w:rsid w:val="00C80275"/>
    <w:rsid w:val="00C80A4D"/>
    <w:rsid w:val="00C84E30"/>
    <w:rsid w:val="00C91309"/>
    <w:rsid w:val="00CB1F06"/>
    <w:rsid w:val="00CC2D2F"/>
    <w:rsid w:val="00CD2A3B"/>
    <w:rsid w:val="00CE19CD"/>
    <w:rsid w:val="00CE5741"/>
    <w:rsid w:val="00CF001F"/>
    <w:rsid w:val="00CF2B4B"/>
    <w:rsid w:val="00CF2B94"/>
    <w:rsid w:val="00CF7511"/>
    <w:rsid w:val="00D31224"/>
    <w:rsid w:val="00D318E4"/>
    <w:rsid w:val="00D37322"/>
    <w:rsid w:val="00D46D84"/>
    <w:rsid w:val="00D649B2"/>
    <w:rsid w:val="00D67C96"/>
    <w:rsid w:val="00D85843"/>
    <w:rsid w:val="00DB1FAE"/>
    <w:rsid w:val="00DB6E16"/>
    <w:rsid w:val="00DC3A66"/>
    <w:rsid w:val="00DC4B25"/>
    <w:rsid w:val="00DC7778"/>
    <w:rsid w:val="00DE436E"/>
    <w:rsid w:val="00E161BE"/>
    <w:rsid w:val="00E17738"/>
    <w:rsid w:val="00E3700D"/>
    <w:rsid w:val="00E37FDA"/>
    <w:rsid w:val="00E43CB7"/>
    <w:rsid w:val="00E51FF0"/>
    <w:rsid w:val="00E81B44"/>
    <w:rsid w:val="00E82EC3"/>
    <w:rsid w:val="00E840EF"/>
    <w:rsid w:val="00E84B64"/>
    <w:rsid w:val="00E9004C"/>
    <w:rsid w:val="00E921FA"/>
    <w:rsid w:val="00E97424"/>
    <w:rsid w:val="00EA376F"/>
    <w:rsid w:val="00EA3982"/>
    <w:rsid w:val="00EA620C"/>
    <w:rsid w:val="00EC1C37"/>
    <w:rsid w:val="00EC6A73"/>
    <w:rsid w:val="00ED6351"/>
    <w:rsid w:val="00EE4B8A"/>
    <w:rsid w:val="00EF40BA"/>
    <w:rsid w:val="00F02F6C"/>
    <w:rsid w:val="00F05C06"/>
    <w:rsid w:val="00F23A9E"/>
    <w:rsid w:val="00F26207"/>
    <w:rsid w:val="00F31704"/>
    <w:rsid w:val="00F32DCE"/>
    <w:rsid w:val="00F36960"/>
    <w:rsid w:val="00F43A06"/>
    <w:rsid w:val="00F53457"/>
    <w:rsid w:val="00F632D2"/>
    <w:rsid w:val="00F704B8"/>
    <w:rsid w:val="00F76B9F"/>
    <w:rsid w:val="00F92F4E"/>
    <w:rsid w:val="00F979C5"/>
    <w:rsid w:val="00FA6293"/>
    <w:rsid w:val="00FE2213"/>
    <w:rsid w:val="00FF24AF"/>
    <w:rsid w:val="00FF5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417B5A"/>
  <w15:chartTrackingRefBased/>
  <w15:docId w15:val="{FD0688A8-BDFD-458E-B0CA-FDF673E87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Bullet List,FooterText,numbered,Paragraphe de liste1,lp1,Bulletr List Paragraph"/>
    <w:basedOn w:val="a"/>
    <w:link w:val="a4"/>
    <w:uiPriority w:val="34"/>
    <w:qFormat/>
    <w:rsid w:val="00112DD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uiPriority w:val="99"/>
    <w:qFormat/>
    <w:rsid w:val="00112DD1"/>
    <w:pPr>
      <w:spacing w:after="0" w:line="240" w:lineRule="auto"/>
      <w:ind w:firstLine="720"/>
    </w:pPr>
    <w:rPr>
      <w:rFonts w:ascii="Arial" w:eastAsia="Times New Roman" w:hAnsi="Arial" w:cs="Arial"/>
      <w:szCs w:val="20"/>
      <w:lang w:eastAsia="ru-RU"/>
    </w:rPr>
  </w:style>
  <w:style w:type="paragraph" w:styleId="a5">
    <w:name w:val="No Spacing"/>
    <w:link w:val="a6"/>
    <w:qFormat/>
    <w:rsid w:val="00112DD1"/>
    <w:pPr>
      <w:spacing w:after="0" w:line="240" w:lineRule="auto"/>
    </w:pPr>
    <w:rPr>
      <w:rFonts w:ascii="Calibri" w:eastAsia="Calibri" w:hAnsi="Calibri" w:cs="Times New Roman"/>
    </w:rPr>
  </w:style>
  <w:style w:type="paragraph" w:customStyle="1" w:styleId="1">
    <w:name w:val="Абзац списка1"/>
    <w:basedOn w:val="a"/>
    <w:uiPriority w:val="99"/>
    <w:qFormat/>
    <w:rsid w:val="00112DD1"/>
    <w:pPr>
      <w:suppressAutoHyphens/>
      <w:spacing w:after="0" w:line="100" w:lineRule="atLeast"/>
      <w:ind w:left="720"/>
    </w:pPr>
    <w:rPr>
      <w:rFonts w:ascii="Times New Roman" w:eastAsia="Times New Roman" w:hAnsi="Times New Roman" w:cs="Times New Roman"/>
      <w:kern w:val="2"/>
      <w:sz w:val="24"/>
      <w:szCs w:val="24"/>
      <w:lang w:eastAsia="hi-IN" w:bidi="hi-IN"/>
    </w:rPr>
  </w:style>
  <w:style w:type="paragraph" w:customStyle="1" w:styleId="10">
    <w:name w:val="Без интервала1"/>
    <w:qFormat/>
    <w:rsid w:val="00112DD1"/>
    <w:pPr>
      <w:spacing w:after="0" w:line="240" w:lineRule="auto"/>
    </w:pPr>
    <w:rPr>
      <w:rFonts w:ascii="Times New Roman" w:eastAsia="Calibri" w:hAnsi="Times New Roman" w:cs="Times New Roman"/>
      <w:sz w:val="24"/>
      <w:szCs w:val="28"/>
      <w:lang w:eastAsia="ru-RU"/>
    </w:rPr>
  </w:style>
  <w:style w:type="character" w:styleId="a7">
    <w:name w:val="Hyperlink"/>
    <w:basedOn w:val="a0"/>
    <w:uiPriority w:val="99"/>
    <w:unhideWhenUsed/>
    <w:rsid w:val="00112DD1"/>
    <w:rPr>
      <w:color w:val="0563C1" w:themeColor="hyperlink"/>
      <w:u w:val="single"/>
    </w:rPr>
  </w:style>
  <w:style w:type="paragraph" w:customStyle="1" w:styleId="02statia2">
    <w:name w:val="02statia2"/>
    <w:basedOn w:val="a"/>
    <w:uiPriority w:val="99"/>
    <w:rsid w:val="00112DD1"/>
    <w:pPr>
      <w:spacing w:before="120" w:after="240" w:line="320" w:lineRule="atLeast"/>
      <w:ind w:left="2020" w:hanging="880"/>
      <w:jc w:val="both"/>
    </w:pPr>
    <w:rPr>
      <w:rFonts w:ascii="GaramondNarrowC" w:eastAsia="Times New Roman" w:hAnsi="GaramondNarrowC" w:cs="Times New Roman"/>
      <w:color w:val="000000"/>
      <w:sz w:val="21"/>
      <w:szCs w:val="21"/>
      <w:lang w:eastAsia="ru-RU"/>
    </w:rPr>
  </w:style>
  <w:style w:type="character" w:customStyle="1" w:styleId="a6">
    <w:name w:val="Без интервала Знак"/>
    <w:basedOn w:val="a0"/>
    <w:link w:val="a5"/>
    <w:locked/>
    <w:rsid w:val="00112DD1"/>
    <w:rPr>
      <w:rFonts w:ascii="Calibri" w:eastAsia="Calibri" w:hAnsi="Calibri" w:cs="Times New Roman"/>
    </w:rPr>
  </w:style>
  <w:style w:type="character" w:customStyle="1" w:styleId="a4">
    <w:name w:val="Абзац списка Знак"/>
    <w:aliases w:val="ТЗ список Знак,Bullet List Знак,FooterText Знак,numbered Знак,Paragraphe de liste1 Знак,lp1 Знак,Bulletr List Paragraph Знак"/>
    <w:link w:val="a3"/>
    <w:uiPriority w:val="34"/>
    <w:locked/>
    <w:rsid w:val="00112DD1"/>
    <w:rPr>
      <w:rFonts w:ascii="Times New Roman" w:eastAsia="Times New Roman" w:hAnsi="Times New Roman" w:cs="Times New Roman"/>
      <w:sz w:val="24"/>
      <w:szCs w:val="24"/>
      <w:lang w:eastAsia="ru-RU"/>
    </w:rPr>
  </w:style>
  <w:style w:type="paragraph" w:styleId="HTML">
    <w:name w:val="HTML Preformatted"/>
    <w:basedOn w:val="a"/>
    <w:link w:val="HTML0"/>
    <w:uiPriority w:val="99"/>
    <w:qFormat/>
    <w:rsid w:val="00112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qFormat/>
    <w:rsid w:val="00112DD1"/>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E81B4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81B44"/>
    <w:rPr>
      <w:rFonts w:ascii="Segoe UI" w:hAnsi="Segoe UI" w:cs="Segoe UI"/>
      <w:sz w:val="18"/>
      <w:szCs w:val="18"/>
    </w:rPr>
  </w:style>
  <w:style w:type="character" w:styleId="aa">
    <w:name w:val="annotation reference"/>
    <w:basedOn w:val="a0"/>
    <w:uiPriority w:val="99"/>
    <w:semiHidden/>
    <w:unhideWhenUsed/>
    <w:rsid w:val="005F09AA"/>
    <w:rPr>
      <w:sz w:val="16"/>
      <w:szCs w:val="16"/>
    </w:rPr>
  </w:style>
  <w:style w:type="paragraph" w:styleId="ab">
    <w:name w:val="annotation text"/>
    <w:basedOn w:val="a"/>
    <w:link w:val="ac"/>
    <w:uiPriority w:val="99"/>
    <w:semiHidden/>
    <w:unhideWhenUsed/>
    <w:rsid w:val="005F09AA"/>
    <w:pPr>
      <w:spacing w:line="240" w:lineRule="auto"/>
    </w:pPr>
    <w:rPr>
      <w:sz w:val="20"/>
      <w:szCs w:val="20"/>
    </w:rPr>
  </w:style>
  <w:style w:type="character" w:customStyle="1" w:styleId="ac">
    <w:name w:val="Текст примечания Знак"/>
    <w:basedOn w:val="a0"/>
    <w:link w:val="ab"/>
    <w:uiPriority w:val="99"/>
    <w:semiHidden/>
    <w:rsid w:val="005F09AA"/>
    <w:rPr>
      <w:sz w:val="20"/>
      <w:szCs w:val="20"/>
    </w:rPr>
  </w:style>
  <w:style w:type="paragraph" w:styleId="ad">
    <w:name w:val="annotation subject"/>
    <w:basedOn w:val="ab"/>
    <w:next w:val="ab"/>
    <w:link w:val="ae"/>
    <w:uiPriority w:val="99"/>
    <w:semiHidden/>
    <w:unhideWhenUsed/>
    <w:rsid w:val="005F09AA"/>
    <w:rPr>
      <w:b/>
      <w:bCs/>
    </w:rPr>
  </w:style>
  <w:style w:type="character" w:customStyle="1" w:styleId="ae">
    <w:name w:val="Тема примечания Знак"/>
    <w:basedOn w:val="ac"/>
    <w:link w:val="ad"/>
    <w:uiPriority w:val="99"/>
    <w:semiHidden/>
    <w:rsid w:val="005F09AA"/>
    <w:rPr>
      <w:b/>
      <w:bCs/>
      <w:sz w:val="20"/>
      <w:szCs w:val="20"/>
    </w:rPr>
  </w:style>
  <w:style w:type="paragraph" w:styleId="af">
    <w:name w:val="header"/>
    <w:basedOn w:val="a"/>
    <w:link w:val="af0"/>
    <w:uiPriority w:val="99"/>
    <w:unhideWhenUsed/>
    <w:rsid w:val="009B5A1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B5A1E"/>
  </w:style>
  <w:style w:type="paragraph" w:styleId="af1">
    <w:name w:val="footer"/>
    <w:basedOn w:val="a"/>
    <w:link w:val="af2"/>
    <w:uiPriority w:val="99"/>
    <w:unhideWhenUsed/>
    <w:rsid w:val="009B5A1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B5A1E"/>
  </w:style>
  <w:style w:type="table" w:styleId="af3">
    <w:name w:val="Table Grid"/>
    <w:basedOn w:val="a1"/>
    <w:uiPriority w:val="39"/>
    <w:rsid w:val="00C91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5B1A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78605">
      <w:bodyDiv w:val="1"/>
      <w:marLeft w:val="0"/>
      <w:marRight w:val="0"/>
      <w:marTop w:val="0"/>
      <w:marBottom w:val="0"/>
      <w:divBdr>
        <w:top w:val="none" w:sz="0" w:space="0" w:color="auto"/>
        <w:left w:val="none" w:sz="0" w:space="0" w:color="auto"/>
        <w:bottom w:val="none" w:sz="0" w:space="0" w:color="auto"/>
        <w:right w:val="none" w:sz="0" w:space="0" w:color="auto"/>
      </w:divBdr>
    </w:div>
    <w:div w:id="336076986">
      <w:bodyDiv w:val="1"/>
      <w:marLeft w:val="0"/>
      <w:marRight w:val="0"/>
      <w:marTop w:val="0"/>
      <w:marBottom w:val="0"/>
      <w:divBdr>
        <w:top w:val="none" w:sz="0" w:space="0" w:color="auto"/>
        <w:left w:val="none" w:sz="0" w:space="0" w:color="auto"/>
        <w:bottom w:val="none" w:sz="0" w:space="0" w:color="auto"/>
        <w:right w:val="none" w:sz="0" w:space="0" w:color="auto"/>
      </w:divBdr>
    </w:div>
    <w:div w:id="430131850">
      <w:bodyDiv w:val="1"/>
      <w:marLeft w:val="0"/>
      <w:marRight w:val="0"/>
      <w:marTop w:val="0"/>
      <w:marBottom w:val="0"/>
      <w:divBdr>
        <w:top w:val="none" w:sz="0" w:space="0" w:color="auto"/>
        <w:left w:val="none" w:sz="0" w:space="0" w:color="auto"/>
        <w:bottom w:val="none" w:sz="0" w:space="0" w:color="auto"/>
        <w:right w:val="none" w:sz="0" w:space="0" w:color="auto"/>
      </w:divBdr>
    </w:div>
    <w:div w:id="444693730">
      <w:bodyDiv w:val="1"/>
      <w:marLeft w:val="0"/>
      <w:marRight w:val="0"/>
      <w:marTop w:val="0"/>
      <w:marBottom w:val="0"/>
      <w:divBdr>
        <w:top w:val="none" w:sz="0" w:space="0" w:color="auto"/>
        <w:left w:val="none" w:sz="0" w:space="0" w:color="auto"/>
        <w:bottom w:val="none" w:sz="0" w:space="0" w:color="auto"/>
        <w:right w:val="none" w:sz="0" w:space="0" w:color="auto"/>
      </w:divBdr>
    </w:div>
    <w:div w:id="453644906">
      <w:bodyDiv w:val="1"/>
      <w:marLeft w:val="0"/>
      <w:marRight w:val="0"/>
      <w:marTop w:val="0"/>
      <w:marBottom w:val="0"/>
      <w:divBdr>
        <w:top w:val="none" w:sz="0" w:space="0" w:color="auto"/>
        <w:left w:val="none" w:sz="0" w:space="0" w:color="auto"/>
        <w:bottom w:val="none" w:sz="0" w:space="0" w:color="auto"/>
        <w:right w:val="none" w:sz="0" w:space="0" w:color="auto"/>
      </w:divBdr>
    </w:div>
    <w:div w:id="642276452">
      <w:bodyDiv w:val="1"/>
      <w:marLeft w:val="0"/>
      <w:marRight w:val="0"/>
      <w:marTop w:val="0"/>
      <w:marBottom w:val="0"/>
      <w:divBdr>
        <w:top w:val="none" w:sz="0" w:space="0" w:color="auto"/>
        <w:left w:val="none" w:sz="0" w:space="0" w:color="auto"/>
        <w:bottom w:val="none" w:sz="0" w:space="0" w:color="auto"/>
        <w:right w:val="none" w:sz="0" w:space="0" w:color="auto"/>
      </w:divBdr>
    </w:div>
    <w:div w:id="808009677">
      <w:bodyDiv w:val="1"/>
      <w:marLeft w:val="0"/>
      <w:marRight w:val="0"/>
      <w:marTop w:val="0"/>
      <w:marBottom w:val="0"/>
      <w:divBdr>
        <w:top w:val="none" w:sz="0" w:space="0" w:color="auto"/>
        <w:left w:val="none" w:sz="0" w:space="0" w:color="auto"/>
        <w:bottom w:val="none" w:sz="0" w:space="0" w:color="auto"/>
        <w:right w:val="none" w:sz="0" w:space="0" w:color="auto"/>
      </w:divBdr>
    </w:div>
    <w:div w:id="935409294">
      <w:bodyDiv w:val="1"/>
      <w:marLeft w:val="0"/>
      <w:marRight w:val="0"/>
      <w:marTop w:val="0"/>
      <w:marBottom w:val="0"/>
      <w:divBdr>
        <w:top w:val="none" w:sz="0" w:space="0" w:color="auto"/>
        <w:left w:val="none" w:sz="0" w:space="0" w:color="auto"/>
        <w:bottom w:val="none" w:sz="0" w:space="0" w:color="auto"/>
        <w:right w:val="none" w:sz="0" w:space="0" w:color="auto"/>
      </w:divBdr>
    </w:div>
    <w:div w:id="944654653">
      <w:bodyDiv w:val="1"/>
      <w:marLeft w:val="0"/>
      <w:marRight w:val="0"/>
      <w:marTop w:val="0"/>
      <w:marBottom w:val="0"/>
      <w:divBdr>
        <w:top w:val="none" w:sz="0" w:space="0" w:color="auto"/>
        <w:left w:val="none" w:sz="0" w:space="0" w:color="auto"/>
        <w:bottom w:val="none" w:sz="0" w:space="0" w:color="auto"/>
        <w:right w:val="none" w:sz="0" w:space="0" w:color="auto"/>
      </w:divBdr>
    </w:div>
    <w:div w:id="1046834714">
      <w:bodyDiv w:val="1"/>
      <w:marLeft w:val="0"/>
      <w:marRight w:val="0"/>
      <w:marTop w:val="0"/>
      <w:marBottom w:val="0"/>
      <w:divBdr>
        <w:top w:val="none" w:sz="0" w:space="0" w:color="auto"/>
        <w:left w:val="none" w:sz="0" w:space="0" w:color="auto"/>
        <w:bottom w:val="none" w:sz="0" w:space="0" w:color="auto"/>
        <w:right w:val="none" w:sz="0" w:space="0" w:color="auto"/>
      </w:divBdr>
    </w:div>
    <w:div w:id="1496610203">
      <w:bodyDiv w:val="1"/>
      <w:marLeft w:val="0"/>
      <w:marRight w:val="0"/>
      <w:marTop w:val="0"/>
      <w:marBottom w:val="0"/>
      <w:divBdr>
        <w:top w:val="none" w:sz="0" w:space="0" w:color="auto"/>
        <w:left w:val="none" w:sz="0" w:space="0" w:color="auto"/>
        <w:bottom w:val="none" w:sz="0" w:space="0" w:color="auto"/>
        <w:right w:val="none" w:sz="0" w:space="0" w:color="auto"/>
      </w:divBdr>
    </w:div>
    <w:div w:id="1618948102">
      <w:bodyDiv w:val="1"/>
      <w:marLeft w:val="0"/>
      <w:marRight w:val="0"/>
      <w:marTop w:val="0"/>
      <w:marBottom w:val="0"/>
      <w:divBdr>
        <w:top w:val="none" w:sz="0" w:space="0" w:color="auto"/>
        <w:left w:val="none" w:sz="0" w:space="0" w:color="auto"/>
        <w:bottom w:val="none" w:sz="0" w:space="0" w:color="auto"/>
        <w:right w:val="none" w:sz="0" w:space="0" w:color="auto"/>
      </w:divBdr>
    </w:div>
    <w:div w:id="1787044853">
      <w:bodyDiv w:val="1"/>
      <w:marLeft w:val="0"/>
      <w:marRight w:val="0"/>
      <w:marTop w:val="0"/>
      <w:marBottom w:val="0"/>
      <w:divBdr>
        <w:top w:val="none" w:sz="0" w:space="0" w:color="auto"/>
        <w:left w:val="none" w:sz="0" w:space="0" w:color="auto"/>
        <w:bottom w:val="none" w:sz="0" w:space="0" w:color="auto"/>
        <w:right w:val="none" w:sz="0" w:space="0" w:color="auto"/>
      </w:divBdr>
    </w:div>
    <w:div w:id="209257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01979E02AD790A68A4A2038FEE2AD429CF84A02630E2F1D7EB395E69BF2A9AEFD807DF0CF9697F44EB93610D039F45F9D22EFD335A628Dc8r2E" TargetMode="External"/><Relationship Id="rId13" Type="http://schemas.openxmlformats.org/officeDocument/2006/relationships/hyperlink" Target="consultantplus://offline/ref=C56490FB49C3DD33D0D5CFFA92A780A418F09ED2B42247DDA2126E66E82FFF21E834EFADE731A7D0E541F3E8C4BD7450C3132B84ADFF328CVC03H" TargetMode="External"/><Relationship Id="rId18" Type="http://schemas.openxmlformats.org/officeDocument/2006/relationships/hyperlink" Target="consultantplus://offline/ref=8BB9600452F09565CA41BBC030001B359F0A218E770642FEB101217DE3D44E014668B5DBD951C62BB7CC7D523319EE47EA03A7192FAB86274Ci8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C56490FB49C3DD33D0D5CFFA92A780A418F397D7B12547DDA2126E66E82FFF21E834EFADE730A4D5E841F3E8C4BD7450C3132B84ADFF328CVC03H" TargetMode="External"/><Relationship Id="rId17" Type="http://schemas.openxmlformats.org/officeDocument/2006/relationships/hyperlink" Target="consultantplus://offline/ref=8BB9600452F09565CA41BBC030001B359F0A218E770642FEB101217DE3D44E014668B5DBD951C72DBFCC7D523319EE47EA03A7192FAB86274Ci8G" TargetMode="External"/><Relationship Id="rId2" Type="http://schemas.openxmlformats.org/officeDocument/2006/relationships/numbering" Target="numbering.xml"/><Relationship Id="rId16" Type="http://schemas.openxmlformats.org/officeDocument/2006/relationships/hyperlink" Target="consultantplus://offline/ref=8BB9600452F09565CA41BBC030001B359F0A218E770642FEB101217DE3D44E014668B5DBD951C62FB3CC7D523319EE47EA03A7192FAB86274Ci8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56490FB49C3DD33D0D5CFFA92A780A418F397D7B12547DDA2126E66E82FFF21E834EFADE731A2D0EC41F3E8C4BD7450C3132B84ADFF328CVC03H" TargetMode="External"/><Relationship Id="rId5" Type="http://schemas.openxmlformats.org/officeDocument/2006/relationships/webSettings" Target="webSettings.xml"/><Relationship Id="rId15" Type="http://schemas.openxmlformats.org/officeDocument/2006/relationships/hyperlink" Target="consultantplus://offline/ref=8BB9600452F09565CA41BBC030001B359F0A218E770642FEB101217DE3D44E014668B5DBD951C62AB4CC7D523319EE47EA03A7192FAB86274Ci8G" TargetMode="External"/><Relationship Id="rId10" Type="http://schemas.openxmlformats.org/officeDocument/2006/relationships/hyperlink" Target="consultantplus://offline/ref=C56490FB49C3DD33D0D5CFFA92A780A418F397D7B12547DDA2126E66E82FFF21E834EFADE730A4D5E841F3E8C4BD7450C3132B84ADFF328CVC03H"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56490FB49C3DD33D0D5CFFA92A780A418F397D7B12547DDA2126E66E82FFF21E834EFAEE439AEDAB81BE3EC8DE97F4FC50C3587B3FFV301H" TargetMode="External"/><Relationship Id="rId14" Type="http://schemas.openxmlformats.org/officeDocument/2006/relationships/hyperlink" Target="consultantplus://offline/ref=E044FC5AAE454AB09B93930517464AA41AB78E503CB5F0C778505337A5420F37139DF2FB80FD0A26E4354EF8BE52FD7CAA8C7B7CD3447Fh5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FD28F-0E6A-4D61-B88E-5E4F1E304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2170</Words>
  <Characters>12372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NNIIPK im Meshalkina</Company>
  <LinksUpToDate>false</LinksUpToDate>
  <CharactersWithSpaces>14513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Киреева Юлия Викторовна</dc:creator>
  <cp:keywords/>
  <dc:description/>
  <cp:lastModifiedBy>Сердюкова Мария Владимировна</cp:lastModifiedBy>
  <cp:revision>75</cp:revision>
  <dcterms:created xsi:type="dcterms:W3CDTF">2023-01-25T08:30:00Z</dcterms:created>
  <dcterms:modified xsi:type="dcterms:W3CDTF">2025-04-15T06:59:00Z</dcterms:modified>
</cp:coreProperties>
</file>