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cs="Calibri" w:ascii="Times New Roman" w:hAnsi="Times New Roman" w:cstheme="minorHAnsi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ТРЕБОВАНИЯ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cs="Calibri" w:ascii="Times New Roman" w:hAnsi="Times New Roman" w:cstheme="minorHAnsi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 СОДЕРЖАНИЮ, СОСТАВУ ЗАЯВКИ НА УЧАСТИЕ В ЗАКУПКЕ И ИНСТРУКЦИЯ ПО ЕЕ ЗАПОЛНЕНИЮ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Calibri" w:cstheme="minorHAnsi"/>
          <w:sz w:val="22"/>
          <w:szCs w:val="22"/>
        </w:rPr>
      </w:pPr>
      <w:r>
        <w:rPr>
          <w:rFonts w:cs="Calibri" w:cstheme="minorHAnsi" w:ascii="Times New Roman" w:hAnsi="Times New Roman"/>
          <w:sz w:val="22"/>
          <w:szCs w:val="22"/>
        </w:rPr>
      </w:r>
    </w:p>
    <w:p>
      <w:pPr>
        <w:pStyle w:val="Normal"/>
        <w:ind w:firstLine="540"/>
        <w:jc w:val="center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 w:cstheme="minorHAnsi"/>
          <w:bCs/>
          <w:sz w:val="22"/>
          <w:szCs w:val="22"/>
          <w:u w:val="single"/>
        </w:rPr>
        <w:t xml:space="preserve">Для участия в электронном аукционе заявка на участие в </w:t>
      </w:r>
      <w:r>
        <w:rPr>
          <w:rFonts w:cs="Calibri" w:ascii="Times New Roman" w:hAnsi="Times New Roman" w:cstheme="minorHAnsi"/>
          <w:b/>
          <w:bCs/>
          <w:sz w:val="22"/>
          <w:szCs w:val="22"/>
          <w:u w:val="single"/>
        </w:rPr>
        <w:t>электронном аукционе</w:t>
      </w:r>
      <w:r>
        <w:rPr>
          <w:rFonts w:cs="Calibri" w:ascii="Times New Roman" w:hAnsi="Times New Roman" w:cstheme="minorHAnsi"/>
          <w:bCs/>
          <w:sz w:val="22"/>
          <w:szCs w:val="22"/>
          <w:u w:val="single"/>
        </w:rPr>
        <w:t xml:space="preserve"> должна содержать:</w:t>
      </w:r>
    </w:p>
    <w:tbl>
      <w:tblPr>
        <w:tblStyle w:val="a3"/>
        <w:tblW w:w="14560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30"/>
        <w:gridCol w:w="5198"/>
        <w:gridCol w:w="8732"/>
      </w:tblGrid>
      <w:tr>
        <w:trPr/>
        <w:tc>
          <w:tcPr>
            <w:tcW w:w="14560" w:type="dxa"/>
            <w:gridSpan w:val="3"/>
            <w:tcBorders/>
            <w:shd w:color="auto" w:fill="D9E2F3" w:themeFill="accent5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1)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информацию и документы об участнике закупки: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/>
        <w:tc>
          <w:tcPr>
            <w:tcW w:w="63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lang w:val="en-US"/>
              </w:rPr>
              <w:t>№</w:t>
            </w:r>
          </w:p>
        </w:tc>
        <w:tc>
          <w:tcPr>
            <w:tcW w:w="5198" w:type="dxa"/>
            <w:tcBorders/>
          </w:tcPr>
          <w:p>
            <w:pPr>
              <w:pStyle w:val="Normal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Информация и документы</w:t>
            </w:r>
          </w:p>
        </w:tc>
        <w:tc>
          <w:tcPr>
            <w:tcW w:w="873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Инструкция по заполнению заявки</w:t>
            </w:r>
          </w:p>
        </w:tc>
      </w:tr>
      <w:tr>
        <w:trPr/>
        <w:tc>
          <w:tcPr>
            <w:tcW w:w="63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5198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решение о согласии на совершение или о последующем одобрении крупной сделки</w:t>
            </w:r>
          </w:p>
          <w:p>
            <w:pPr>
              <w:pStyle w:val="Normal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873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включается участником закупки в заявку на участие в закупке,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</w:t>
            </w:r>
          </w:p>
        </w:tc>
      </w:tr>
      <w:tr>
        <w:trPr/>
        <w:tc>
          <w:tcPr>
            <w:tcW w:w="63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5198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декларация о соответствии участника закупки требованиям, установленным пунктами 3 - 5, 7 - 11 части 1 статьи 31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Федерального закона от 05.04.2013 №44-ФЗ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873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включается участником закупки в заявку на участие в закупке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/>
        <w:tc>
          <w:tcPr>
            <w:tcW w:w="63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5198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</w:p>
          <w:p>
            <w:pPr>
              <w:pStyle w:val="Normal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873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включается участником закупки в заявку на участие в закупке (за исключением случаев, если в соответствии с законодательством Российской Федерации такой счет открывается после заключения контракта)</w:t>
            </w:r>
          </w:p>
        </w:tc>
      </w:tr>
      <w:tr>
        <w:trPr/>
        <w:tc>
          <w:tcPr>
            <w:tcW w:w="14560" w:type="dxa"/>
            <w:gridSpan w:val="3"/>
            <w:tcBorders/>
            <w:shd w:color="auto" w:fill="D9E2F3" w:themeFill="accent5" w:themeFillTint="33" w:val="clear"/>
          </w:tcPr>
          <w:p>
            <w:pPr>
              <w:pStyle w:val="Normal"/>
              <w:spacing w:lineRule="auto" w:line="240" w:before="0" w:after="0"/>
              <w:ind w:firstLine="54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2) предложение участника закупки в отношении объекта закупки: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681" w:hRule="atLeast"/>
        </w:trPr>
        <w:tc>
          <w:tcPr>
            <w:tcW w:w="63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5198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характеристики предлагаемого участником закупки товара,</w:t>
            </w:r>
            <w:r>
              <w:rPr>
                <w:rFonts w:cs="Times New Roman" w:ascii="Times New Roman" w:hAnsi="Times New Roman"/>
                <w:color w:val="FF0000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соответствующие показателям, установленным в описании объекта закупки, товарный знак (при наличии у товара товарного знака)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8732" w:type="dxa"/>
            <w:tcBorders/>
          </w:tcPr>
          <w:p>
            <w:pPr>
              <w:pStyle w:val="Normal"/>
              <w:spacing w:lineRule="auto" w:line="240" w:before="260" w:after="0"/>
              <w:ind w:hanging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bCs/>
                <w:sz w:val="22"/>
                <w:szCs w:val="22"/>
                <w:lang w:eastAsia="ru-RU"/>
              </w:rPr>
              <w:t>При формировании предложения участника закупки в отношении объекта закупки,</w:t>
            </w:r>
            <w:r>
              <w:rPr>
                <w:rFonts w:eastAsia="Carlito" w:cs="Carlito" w:ascii="Times New Roman" w:hAnsi="Times New Roman"/>
                <w:sz w:val="22"/>
                <w:szCs w:val="22"/>
                <w:lang w:eastAsia="ru-RU"/>
              </w:rPr>
              <w:t xml:space="preserve"> с использованием электронной площадки, формируются наименование страны происхождения товара, товарный знак </w:t>
            </w:r>
            <w:r>
              <w:rPr>
                <w:rFonts w:eastAsia="Carlito" w:cs="Carlito" w:ascii="Times New Roman" w:hAnsi="Times New Roman"/>
                <w:b w:val="false"/>
                <w:bCs w:val="false"/>
                <w:sz w:val="22"/>
                <w:szCs w:val="22"/>
                <w:lang w:eastAsia="ru-RU"/>
              </w:rPr>
              <w:t>(при наличии у товара товарного знака),</w:t>
            </w:r>
            <w:r>
              <w:rPr>
                <w:rFonts w:eastAsia="Carlito" w:cs="Carlito" w:ascii="Times New Roman" w:hAnsi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Carlito" w:cs="Carlito" w:ascii="Times New Roman" w:hAnsi="Times New Roman"/>
                <w:bCs/>
                <w:sz w:val="22"/>
                <w:szCs w:val="22"/>
                <w:lang w:eastAsia="ru-RU"/>
              </w:rPr>
              <w:t>а также характеристики предлагаемого участником закупки товара в части характеристик</w:t>
            </w:r>
            <w:r>
              <w:rPr>
                <w:rFonts w:eastAsia="Carlito" w:cs="Carlito" w:ascii="Times New Roman" w:hAnsi="Times New Roman"/>
                <w:sz w:val="22"/>
                <w:szCs w:val="22"/>
                <w:lang w:eastAsia="ru-RU"/>
              </w:rPr>
              <w:t>, содержащихся в извещении об осуществлении закупки.</w:t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   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При указании сведений о товарном знаке участникам необходимо учитывать, что такие сведения должны быть указаны в заявке только </w:t>
            </w:r>
            <w:r>
              <w:rPr>
                <w:rFonts w:eastAsia="Carlito" w:cs="Carlito" w:ascii="Times New Roman" w:hAnsi="Times New Roman"/>
                <w:b/>
                <w:bCs/>
                <w:color w:themeColor="text1" w:val="000000"/>
                <w:sz w:val="22"/>
                <w:szCs w:val="22"/>
              </w:rPr>
              <w:t>при наличии у предлагаемого товара товарного знака</w:t>
            </w:r>
            <w:r>
              <w:rPr>
                <w:rFonts w:eastAsia="Carlito" w:cs="Carlito" w:ascii="Times New Roman" w:hAnsi="Times New Roman"/>
                <w:b w:val="false"/>
                <w:bCs w:val="false"/>
                <w:color w:themeColor="text1" w:val="000000"/>
                <w:sz w:val="22"/>
                <w:szCs w:val="22"/>
              </w:rPr>
              <w:t xml:space="preserve">, а также учитывать правовую позицию,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  <w:lang w:eastAsia="en-US"/>
              </w:rPr>
              <w:t xml:space="preserve"> Федеральной антимонопольной службы России , согласно которой  Законом №44-ФЗ не предусмотрена  возможность указания нескольких товарных знаков в отношении одной позиции товара. В случае указания участником закупки нескольких товарных знаков в отношении одной позиции товара, заявка такого участника закупки подлежит отклонению на основании пункта 1 части 12 статьи 48 Закона №44-ФЗ.</w:t>
              <w:tab/>
              <w:tab/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  <w:lang w:eastAsia="en-US"/>
              </w:rPr>
              <w:t xml:space="preserve">    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Наличие у товара товарного знака означает, что такой товар имеет </w:t>
            </w:r>
            <w:r>
              <w:rPr>
                <w:rFonts w:eastAsia="Carlito" w:cs="Carlito" w:ascii="Times New Roman" w:hAnsi="Times New Roman"/>
                <w:i w:val="false"/>
                <w:iCs w:val="false"/>
                <w:color w:themeColor="text1" w:val="000000"/>
                <w:sz w:val="22"/>
                <w:szCs w:val="22"/>
              </w:rPr>
              <w:t>зарегистрированное в установленном законом порядке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словесное и/или изобразительное обозначение.</w:t>
              <w:tab/>
              <w:tab/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   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>При поиске сведений о зарегистрированных товарных знаках рекомендуется использовать следующие информационные сервисы:</w:t>
              <w:tab/>
              <w:tab/>
              <w:tab/>
              <w:tab/>
              <w:tab/>
              <w:tab/>
              <w:tab/>
              <w:tab/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sz w:val="20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   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>-сайт Федеральной службы по интеллектуальной собственности  в России (</w:t>
            </w:r>
            <w:hyperlink r:id="rId2" w:tgtFrame="https://new.fips.ru/">
              <w:r>
                <w:rPr>
                  <w:rStyle w:val="Style9"/>
                  <w:rFonts w:eastAsia="Carlito" w:cs="Carlito" w:ascii="Times New Roman" w:hAnsi="Times New Roman"/>
                  <w:color w:themeColor="text1" w:val="000000"/>
                  <w:sz w:val="22"/>
                  <w:szCs w:val="22"/>
                </w:rPr>
                <w:t>https://new.fips.ru/</w:t>
              </w:r>
            </w:hyperlink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>), который  предоставляет информацию и услуги, связанные с охраной интеллектуальной собственности, включая товарные знаки;</w:t>
              <w:tab/>
              <w:tab/>
              <w:tab/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sz w:val="20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  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>-платформу поиска товарных знаков, управляемую Роспатентом (</w:t>
            </w:r>
            <w:hyperlink r:id="rId3" w:tgtFrame="https://searchplatform.rospatent.gov.ru/trademarks">
              <w:r>
                <w:rPr>
                  <w:rStyle w:val="Style9"/>
                  <w:rFonts w:eastAsia="Carlito" w:cs="Carlito" w:ascii="Times New Roman" w:hAnsi="Times New Roman"/>
                  <w:color w:themeColor="text1" w:val="000000"/>
                  <w:sz w:val="22"/>
                  <w:szCs w:val="22"/>
                  <w:u w:val="single"/>
                </w:rPr>
                <w:t>https://searchplatform.rospatent.gov.ru/trademarks</w:t>
              </w:r>
            </w:hyperlink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>);</w:t>
              <w:tab/>
              <w:tab/>
              <w:tab/>
              <w:tab/>
              <w:tab/>
              <w:tab/>
              <w:tab/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   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>-платформу WIPO Madrid Monitor, предоставляемую Всемирной организацией интеллектуальной собственности (WIPO) и предназначенную для поиска и мониторинга международных товарных знаков.</w:t>
              <w:tab/>
              <w:tab/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    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Словесное обозначение товарного знака должно быть указано полностью, без сокращений,  в том виде, в котором оно зарегистрировано. </w:t>
              <w:tab/>
              <w:tab/>
              <w:tab/>
              <w:tab/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   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Допускается указание </w:t>
            </w:r>
            <w:r>
              <w:rPr>
                <w:rFonts w:eastAsia="Carlito" w:cs="Carlito" w:ascii="Times New Roman" w:hAnsi="Times New Roman"/>
                <w:i w:val="false"/>
                <w:iCs w:val="false"/>
                <w:color w:themeColor="text1" w:val="000000"/>
                <w:sz w:val="22"/>
                <w:szCs w:val="22"/>
              </w:rPr>
              <w:t>в заявке</w:t>
            </w:r>
            <w:r>
              <w:rPr>
                <w:rFonts w:eastAsia="Carlito" w:cs="Carlito" w:ascii="Times New Roman" w:hAnsi="Times New Roman"/>
                <w:i/>
                <w:iCs/>
                <w:color w:themeColor="text1" w:val="000000"/>
                <w:sz w:val="22"/>
                <w:szCs w:val="22"/>
              </w:rPr>
              <w:t xml:space="preserve"> номера государственной регистрации товарного знака,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в том числе такое указание применимо к зарегистрированным товарным знакам, имеющим  словесное и/или изобразительное обозначение.</w:t>
              <w:tab/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    </w:t>
            </w:r>
            <w:r>
              <w:rPr>
                <w:rFonts w:eastAsia="Carlito" w:cs="Carlito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Carlito" w:cs="Carlito" w:ascii="Times New Roman" w:hAnsi="Times New Roman"/>
                <w:sz w:val="22"/>
                <w:szCs w:val="22"/>
              </w:rPr>
              <w:t xml:space="preserve">Не допускается указывать в графе «товарный знак»  информацию, не относящуюся к его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>словесному и/или изобразительному обозначению</w:t>
            </w:r>
            <w:r>
              <w:rPr>
                <w:rFonts w:eastAsia="Carlito" w:cs="Carlito" w:ascii="Times New Roman" w:hAnsi="Times New Roman"/>
                <w:sz w:val="22"/>
                <w:szCs w:val="22"/>
              </w:rPr>
              <w:t xml:space="preserve"> (например, наименование производителя, модель и (или)  серийный номер товара и т.п.).</w:t>
              <w:tab/>
              <w:tab/>
              <w:tab/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sz w:val="22"/>
                <w:szCs w:val="22"/>
              </w:rPr>
              <w:t xml:space="preserve">    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В случае, если у предлагаемого товара отсутствует зарегистрированный товарный знак, участник закупки может оставить  раздел «товарный знак» пустым. В качестве альтернативы допускается указать в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  <w:lang w:val="ru-RU"/>
              </w:rPr>
              <w:t xml:space="preserve">соответствующей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>графе слова «нет», «отсутствует» и иные подобные формулировки.</w:t>
              <w:tab/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 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>Если в заявке указаны сведения о наличии товарного знака, то предлагаемый к поставке товар должен соответствовать классу международной классификации товаров и услуг (МКТУ), на который распространяется правовая охрана указанного в заявке товарного знака.</w:t>
              <w:tab/>
              <w:tab/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   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>При указании в заявке сведений о наличии товарного знака участнику закупки необходимо проверять срок действия исключительного права на такой товарный знак. В случае если  товарный знак прекратил свое действие и не был продлен срок действия исключительного права,  то указание в заявке сведений о наличии у товара товарного знака приравнивается к представлению недостоверной информации о товаре.</w:t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  <w:lang w:eastAsia="ru-RU"/>
              </w:rPr>
              <w:t xml:space="preserve">  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  <w:lang w:eastAsia="ru-RU"/>
              </w:rPr>
              <w:t>Обращаем  внимание участников закупок на то, что информация о товарном знаке включается в цифровой контракт. Если на этапе приемки товара заказчиком  будет выявлен зарегистрированный товарный знак, сведения о котором отсутствовали в заявке на участие в закупке, или если указанные сведения окажутся недостоверными, это может стать основанием для одностороннего расторжения контракта в порядке, предусмотренном положениями Закона о контрактной системе.</w:t>
            </w:r>
          </w:p>
          <w:p>
            <w:pPr>
              <w:pStyle w:val="Normal"/>
              <w:spacing w:lineRule="auto" w:line="240" w:before="0" w:after="0"/>
              <w:ind w:firstLine="5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eastAsia="ru-RU"/>
              </w:rPr>
              <w:t>Участник закупки должен руководствоваться «Инструкцией по заполнению характеристик в заявке», указанной заказчиком в разделе «Информация об объекте закупки» извещения об осуществлении закупки, сформированного с использованием Единой информационной системы (далее –ЕИС).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       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Показатели, позволяющие определить соответствие закупаемого товара по установленным заказчиком требованиям, содержатся в структурированных характеристиках объекта закупки в извещении об осуществлении закупки, сформированных с использованием ЕИС, а также в описании объекта закупки, прилагаемом к извещению об осуществлении закупки.</w:t>
            </w:r>
          </w:p>
          <w:p>
            <w:pPr>
              <w:pStyle w:val="Normal"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! Обращаем внимание, что проект контракта содержит условия и характеристики товара, которые не подлежат изменению!</w:t>
            </w:r>
          </w:p>
          <w:p>
            <w:pPr>
              <w:pStyle w:val="Normal"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При описании участником информации о товаре необходимо указать характеристики предлагаемого участником закупки товара, а именно максимальные и (или) минимальные значения таких показателей и (или) значения показателей, которые не могут изменяться, соответствующие требованиям извещения об осуществлении закупки. </w:t>
            </w:r>
          </w:p>
          <w:p>
            <w:pPr>
              <w:pStyle w:val="Normal"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По требованиям статьи 34 и подпункта "а" пункта 1 части 2 статьи 51 Закона N 44-ФЗ контракт заключается на условиях, предусмотренных извещением об осуществлении закупки и заявкой участника закупки.</w:t>
            </w:r>
          </w:p>
          <w:p>
            <w:pPr>
              <w:pStyle w:val="Normal"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  <w:t>В соответствии с пп. д п. 1 ч. 2 ст. 51 Закона 44-ФЗ 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 указываются в контракте.</w:t>
            </w:r>
          </w:p>
          <w:p>
            <w:pPr>
              <w:pStyle w:val="Normal"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i/>
                <w:sz w:val="22"/>
                <w:szCs w:val="22"/>
              </w:rPr>
              <w:t xml:space="preserve">Обращаем внимание, что </w:t>
            </w:r>
            <w:r>
              <w:rPr>
                <w:rFonts w:cs="Times New Roman" w:ascii="Times New Roman" w:hAnsi="Times New Roman"/>
                <w:b/>
                <w:i/>
                <w:sz w:val="22"/>
                <w:szCs w:val="22"/>
                <w:u w:val="single"/>
              </w:rPr>
              <w:t>изменение существенных условий контракта не допускается</w:t>
            </w:r>
            <w:r>
              <w:rPr>
                <w:rFonts w:cs="Times New Roman" w:ascii="Times New Roman" w:hAnsi="Times New Roman"/>
                <w:b/>
                <w:i/>
                <w:sz w:val="22"/>
                <w:szCs w:val="22"/>
              </w:rPr>
              <w:t xml:space="preserve">. </w:t>
            </w:r>
          </w:p>
          <w:p>
            <w:pPr>
              <w:pStyle w:val="Normal"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i/>
                <w:sz w:val="22"/>
                <w:szCs w:val="22"/>
              </w:rPr>
              <w:t>Перечень случаев в которых допускается изменение существенных условий контракта при его исполнении по соглашению сторон, установлен частью 1 статьи 95 Закона N 44-ФЗ и является исчерпывающим.</w:t>
            </w:r>
          </w:p>
          <w:p>
            <w:pPr>
              <w:pStyle w:val="Normal"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Ответственность за достоверность информации и документов, содержащихся в предложении участника закупки в отношении объекта закупки, за соответствие указанных информации и документов требованиям, установленным законодательством Российской Федерации, несет участник закупки.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/>
        <w:tc>
          <w:tcPr>
            <w:tcW w:w="63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5198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873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участник закупки обязан указать 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</w:p>
          <w:p>
            <w:pPr>
              <w:pStyle w:val="Normal"/>
              <w:spacing w:lineRule="auto" w:line="240" w:before="260" w:after="0"/>
              <w:ind w:hanging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 xml:space="preserve">При указании сведений о  стране происхождения товара участникам  необходимо учитывать 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  <w:lang w:eastAsia="en-US"/>
              </w:rPr>
              <w:t>правовую позицию, изложенную  в информационном письме Министерства финансов Российской Федерации от 13.03.2025 № 24-03-09/24756</w:t>
            </w:r>
            <w:r>
              <w:rPr>
                <w:rFonts w:eastAsia="Carlito" w:cs="Carlito" w:ascii="Times New Roman" w:hAnsi="Times New Roman"/>
                <w:color w:themeColor="text1" w:val="000000"/>
                <w:sz w:val="22"/>
                <w:szCs w:val="22"/>
              </w:rPr>
              <w:t>, согласно которой заявка на участие в закупке должна содержать только одно наименование страны происхождения товара. Указание нескольких стран не допускается.</w:t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rlito" w:cs="Carlito" w:ascii="Times New Roman" w:hAnsi="Times New Roman"/>
                <w:bCs/>
                <w:color w:themeColor="text1" w:val="000000"/>
                <w:sz w:val="22"/>
                <w:szCs w:val="22"/>
              </w:rPr>
              <w:t xml:space="preserve">     </w:t>
            </w:r>
            <w:r>
              <w:rPr>
                <w:rFonts w:eastAsia="Carlito" w:cs="Carlito" w:ascii="Times New Roman" w:hAnsi="Times New Roman"/>
                <w:bCs/>
                <w:color w:themeColor="text1" w:val="000000"/>
                <w:sz w:val="22"/>
                <w:szCs w:val="22"/>
                <w:lang w:eastAsia="en-US"/>
              </w:rPr>
              <w:t>В случае указания участником закупки нескольких стран происхождения товара в отношении одной позиции товара, заявка такого участника закупки подлежит отклонению на основании пункта 1 части 12 статьи 48 Закона №44-ФЗ.</w:t>
              <w:tab/>
            </w:r>
          </w:p>
        </w:tc>
      </w:tr>
      <w:tr>
        <w:trPr/>
        <w:tc>
          <w:tcPr>
            <w:tcW w:w="63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5198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иные информация и документы, в том числе эскиз, рисунок, чертеж, фотография, иное изображение предлагаемого участником закупки товара.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8732" w:type="dxa"/>
            <w:tcBorders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Иная информация и документы, предоставляемые в составе заявки, должны подтверждать соответствие характеристик товара, поставляемого участником закупки, показателям, установленным в структурированных характеристиках объекта закупки в извещении об осуществлении закупки, сформированных с использованием ЕИС, а также в описании объекта закупки, прилагаемом к извещению об осуществлении закупки.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 также могут быть предоставлены информация и документы, подтверждающие соответствие товара описанию объекта закупки: сертификаты (декларации о соответствии), (паспорт) качества производителя, технический паспорт, инструкция по эксплуатации и т. д.</w:t>
            </w:r>
          </w:p>
        </w:tc>
      </w:tr>
      <w:tr>
        <w:trPr/>
        <w:tc>
          <w:tcPr>
            <w:tcW w:w="14560" w:type="dxa"/>
            <w:gridSpan w:val="3"/>
            <w:tcBorders/>
            <w:shd w:color="auto" w:fill="D5DCE4" w:themeFill="text2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 xml:space="preserve">3) информацию и документы, предусмотренные нормативными правовыми актами, принятыми в соответствии с </w:t>
            </w:r>
            <w:r>
              <w:rPr>
                <w:rFonts w:eastAsia="Times New Roman" w:cs="Times New Roman" w:ascii="Times New Roman" w:hAnsi="Times New Roman"/>
                <w:b/>
                <w:bCs/>
                <w:sz w:val="22"/>
                <w:szCs w:val="22"/>
                <w:lang w:eastAsia="ar-SA"/>
              </w:rPr>
              <w:t>п. 2 ч. 2</w:t>
            </w:r>
            <w:r>
              <w:rPr>
                <w:rFonts w:eastAsia="Times New Roman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ст. 14 Федерального закона №44-ФЗ: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/>
        <w:tc>
          <w:tcPr>
            <w:tcW w:w="63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5198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  <w:highlight w:val="white"/>
              </w:rPr>
              <w:t xml:space="preserve">В соответствии с постановлением Правительства РФ от 23.12.2024 N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  </w:t>
            </w:r>
            <w:r>
              <w:rPr>
                <w:rFonts w:eastAsia="Times New Roman" w:cs="Times New Roman" w:ascii="Times New Roman" w:hAnsi="Times New Roman"/>
                <w:b/>
                <w:bCs/>
                <w:sz w:val="22"/>
                <w:szCs w:val="22"/>
                <w:highlight w:val="white"/>
              </w:rPr>
              <w:t xml:space="preserve">устанавливается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преимущество</w:t>
            </w:r>
            <w:r>
              <w:rPr>
                <w:rFonts w:eastAsia="Times New Roman" w:cs="Times New Roman"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 w:val="false"/>
                <w:i w:val="false"/>
                <w:i w:val="false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 w:val="false"/>
                <w:i w:val="false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iCs/>
                <w:sz w:val="22"/>
                <w:szCs w:val="22"/>
              </w:rPr>
              <w:t>Информация и документы, определенные  в соответствии с  пунктом 2 части 2 статьи 14 Федерального закона №44-ФЗ, подтверждающие  страну происхождения товара:</w:t>
            </w:r>
          </w:p>
          <w:p>
            <w:pPr>
              <w:pStyle w:val="Normal"/>
              <w:spacing w:lineRule="auto" w:line="240" w:before="0" w:after="0"/>
              <w:ind w:firstLine="454"/>
              <w:jc w:val="both"/>
              <w:rPr>
                <w:rFonts w:ascii="Times New Roman" w:hAnsi="Times New Roman" w:cs="Calibri" w:cstheme="minorHAnsi"/>
                <w:sz w:val="22"/>
                <w:szCs w:val="22"/>
              </w:rPr>
            </w:pPr>
            <w:r>
              <w:rPr>
                <w:rFonts w:cs="Calibri" w:cstheme="minorHAnsi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ind w:firstLine="45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color w:val="000000"/>
                <w:sz w:val="22"/>
                <w:szCs w:val="22"/>
                <w:lang w:eastAsia="ru-RU"/>
              </w:rPr>
              <w:t>указание наименования страны происхождения товара в соответствии с подпунктом «б» пункта 2 части 1 статьи 43 Федерального закона «О контрактной системе в сфере закупок товаров, работ, услуг для обеспечения государственных и муниципальных нужд».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873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</w:rPr>
              <w:t>включается участником закупки в заявку на участие в закупке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</w:rPr>
              <w:t xml:space="preserve">При присвоении в соответствии с положениями Закона о контрактной системе 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порядкового номера заявке на участие в закупке,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u w:val="single"/>
              </w:rPr>
              <w:t xml:space="preserve">содержащей предложение о поставке товара только российского происхождения, </w:t>
            </w:r>
            <w:r>
              <w:rPr>
                <w:rFonts w:eastAsia="Times New Roman" w:cs="Times New Roman" w:ascii="Times New Roman" w:hAnsi="Times New Roman"/>
                <w:b/>
                <w:bCs/>
                <w:sz w:val="22"/>
                <w:szCs w:val="22"/>
              </w:rPr>
              <w:t>осуществляется снижение на 15% ценового предложения этого участника закупк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и либо увеличение на 15%  ценового предложения этого участника закупки в случае подачи им предложения о раз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highlight w:val="white"/>
              </w:rPr>
              <w:t xml:space="preserve">мере платы, подлежащей внесению за заключение контракта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(при присвоении в соответствии с подпунктом "б" пункта 6 части 12 статьи 93 Закона о контрактной системе порядкового номера заявке на участие в закупке, содержащей предложение о поставке товара только российского происхождения, осуществляется снижение на пятнадцать процентов цены за единицу товара, предложенной участником закупки, подавшим такую заявку)</w:t>
            </w:r>
          </w:p>
          <w:p>
            <w:pPr>
              <w:pStyle w:val="Normal"/>
              <w:spacing w:lineRule="auto" w:line="240" w:before="0" w:after="0"/>
              <w:ind w:firstLine="321"/>
              <w:jc w:val="both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ind w:firstLine="321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</w:rPr>
              <w:t>В таком случае контракт заключается без учета снижения ценового предложения (цены за единицу товара, при присвоении в соответствии с подпунктом "б" пункта 6 части 12 статьи 93 Закона о контрактной системе порядкового номера заявке на участие в закупке, содержащей предложение о поставке товара только российского происхождения) либо увеличения ценового предложения.</w:t>
            </w:r>
          </w:p>
          <w:p>
            <w:pPr>
              <w:pStyle w:val="Normal"/>
              <w:spacing w:lineRule="auto" w:line="240" w:before="0" w:after="0"/>
              <w:ind w:firstLine="321"/>
              <w:jc w:val="both"/>
              <w:rPr>
                <w:rFonts w:ascii="Times New Roman" w:hAnsi="Times New Roman" w:eastAsia="Calibri" w:cs="" w:cstheme="minorBidi" w:eastAsiaTheme="minorHAnsi"/>
                <w:sz w:val="22"/>
                <w:szCs w:val="22"/>
              </w:rPr>
            </w:pPr>
            <w:r>
              <w:rPr>
                <w:rFonts w:eastAsia="Calibri" w:cs="" w:cstheme="minorBidi" w:eastAsiaTheme="minorHAnsi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</w:rPr>
              <w:t>Согласно пп. а п. 4 Постановления Правительства РФ от 23.12.2024 № 1875 положения настоящего постановления, касающиеся товара российского происхождения, применяются также в отношении товара, происходящего из государства - члена Евразийского экономического союза.</w:t>
            </w:r>
          </w:p>
        </w:tc>
      </w:tr>
    </w:tbl>
    <w:p>
      <w:pPr>
        <w:pStyle w:val="Normal"/>
        <w:spacing w:before="0" w:after="160"/>
        <w:jc w:val="right"/>
        <w:rPr>
          <w:rFonts w:ascii="Times New Roman" w:hAnsi="Times New Roman" w:cs="Calibri" w:cstheme="minorHAnsi"/>
          <w:b/>
          <w:bCs/>
          <w:sz w:val="22"/>
          <w:szCs w:val="22"/>
        </w:rPr>
      </w:pPr>
      <w:r>
        <w:rPr>
          <w:rFonts w:cs="Calibri" w:cstheme="minorHAnsi" w:ascii="Times New Roman" w:hAnsi="Times New Roman"/>
          <w:b/>
          <w:bCs/>
          <w:sz w:val="22"/>
          <w:szCs w:val="22"/>
        </w:rPr>
      </w:r>
    </w:p>
    <w:sectPr>
      <w:type w:val="nextPage"/>
      <w:pgSz w:orient="landscape" w:w="16838" w:h="11906"/>
      <w:pgMar w:left="765" w:right="653" w:gutter="0" w:header="0" w:top="450" w:footer="0" w:bottom="43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" w:customStyle="1">
    <w:name w:val="ConsPlusNormal Знак"/>
    <w:qFormat/>
    <w:locked/>
    <w:rsid w:val="000c5f07"/>
    <w:rPr>
      <w:rFonts w:ascii="Arial" w:hAnsi="Arial" w:eastAsia="Times New Roman" w:cs="Arial"/>
      <w:sz w:val="20"/>
      <w:szCs w:val="20"/>
      <w:lang w:eastAsia="ru-RU"/>
    </w:rPr>
  </w:style>
  <w:style w:type="character" w:styleId="Style14" w:customStyle="1">
    <w:name w:val="Текст сноски Знак"/>
    <w:basedOn w:val="DefaultParagraphFont"/>
    <w:uiPriority w:val="99"/>
    <w:semiHidden/>
    <w:qFormat/>
    <w:rsid w:val="00ee7972"/>
    <w:rPr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e7972"/>
    <w:rPr>
      <w:vertAlign w:val="superscript"/>
    </w:rPr>
  </w:style>
  <w:style w:type="character" w:styleId="Style15" w:customStyle="1">
    <w:name w:val="Текст концевой сноски Знак"/>
    <w:basedOn w:val="DefaultParagraphFont"/>
    <w:uiPriority w:val="99"/>
    <w:semiHidden/>
    <w:qFormat/>
    <w:rsid w:val="00ee7972"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ee7972"/>
    <w:rPr>
      <w:vertAlign w:val="superscript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921c9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21c9b"/>
    <w:rPr>
      <w:sz w:val="16"/>
      <w:szCs w:val="16"/>
    </w:rPr>
  </w:style>
  <w:style w:type="character" w:styleId="Style17" w:customStyle="1">
    <w:name w:val="Текст примечания Знак"/>
    <w:basedOn w:val="DefaultParagraphFont"/>
    <w:uiPriority w:val="99"/>
    <w:semiHidden/>
    <w:qFormat/>
    <w:rsid w:val="00921c9b"/>
    <w:rPr>
      <w:sz w:val="20"/>
      <w:szCs w:val="20"/>
    </w:rPr>
  </w:style>
  <w:style w:type="character" w:styleId="Style18" w:customStyle="1">
    <w:name w:val="Тема примечания Знак"/>
    <w:basedOn w:val="Style17"/>
    <w:uiPriority w:val="99"/>
    <w:semiHidden/>
    <w:qFormat/>
    <w:rsid w:val="003039bd"/>
    <w:rPr>
      <w:b/>
      <w:bCs/>
      <w:sz w:val="20"/>
      <w:szCs w:val="20"/>
    </w:rPr>
  </w:style>
  <w:style w:type="character" w:styleId="Style19" w:customStyle="1">
    <w:name w:val="Верхний колонтитул Знак"/>
    <w:basedOn w:val="DefaultParagraphFont"/>
    <w:uiPriority w:val="99"/>
    <w:qFormat/>
    <w:rsid w:val="00dc0244"/>
    <w:rPr/>
  </w:style>
  <w:style w:type="character" w:styleId="Style20" w:customStyle="1">
    <w:name w:val="Нижний колонтитул Знак"/>
    <w:basedOn w:val="DefaultParagraphFont"/>
    <w:uiPriority w:val="99"/>
    <w:qFormat/>
    <w:rsid w:val="00dc0244"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1" w:customStyle="1">
    <w:name w:val="ConsPlusNormal"/>
    <w:qFormat/>
    <w:rsid w:val="000c5f07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FootnoteText">
    <w:name w:val="footnote text"/>
    <w:basedOn w:val="Normal"/>
    <w:uiPriority w:val="99"/>
    <w:semiHidden/>
    <w:unhideWhenUsed/>
    <w:rsid w:val="00ee7972"/>
    <w:pPr>
      <w:spacing w:lineRule="auto" w:line="240" w:before="0" w:after="0"/>
    </w:pPr>
    <w:rPr>
      <w:sz w:val="20"/>
      <w:szCs w:val="20"/>
    </w:rPr>
  </w:style>
  <w:style w:type="paragraph" w:styleId="EndnoteText">
    <w:name w:val="endnote text"/>
    <w:basedOn w:val="Normal"/>
    <w:uiPriority w:val="99"/>
    <w:semiHidden/>
    <w:unhideWhenUsed/>
    <w:rsid w:val="00ee7972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70c65"/>
    <w:pPr>
      <w:spacing w:before="0" w:after="160"/>
      <w:ind w:hanging="0" w:left="72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921c9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uiPriority w:val="99"/>
    <w:semiHidden/>
    <w:unhideWhenUsed/>
    <w:qFormat/>
    <w:rsid w:val="00921c9b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uiPriority w:val="99"/>
    <w:semiHidden/>
    <w:unhideWhenUsed/>
    <w:qFormat/>
    <w:rsid w:val="003039bd"/>
    <w:pPr/>
    <w:rPr>
      <w:b/>
      <w:bCs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c0244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rsid w:val="00dc0244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2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d23c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new.fips.ru/" TargetMode="External"/><Relationship Id="rId3" Type="http://schemas.openxmlformats.org/officeDocument/2006/relationships/hyperlink" Target="https://searchplatform.rospatent.gov.ru/trademarks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4624F-A552-4420-A7B0-69D336101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LibreOffice/24.8.3.2$Linux_X86_64 LibreOffice_project/48a6bac9e7e268aeb4c3483fcf825c94556d9f92</Application>
  <AppVersion>15.0000</AppVersion>
  <DocSecurity>0</DocSecurity>
  <Pages>4</Pages>
  <Words>1465</Words>
  <Characters>10284</Characters>
  <CharactersWithSpaces>11853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Наталья Евгеньевна</dc:creator>
  <dc:description/>
  <dc:language>ru-RU</dc:language>
  <cp:lastModifiedBy/>
  <dcterms:modified xsi:type="dcterms:W3CDTF">2025-04-30T10:10:38Z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