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78"/>
        <w:pBdr/>
        <w:tabs>
          <w:tab w:val="left" w:leader="none" w:pos="4332"/>
        </w:tabs>
        <w:spacing w:after="0" w:before="0" w:line="240" w:lineRule="auto"/>
        <w:ind/>
        <w:contextualSpacing w:val="true"/>
        <w:jc w:val="center"/>
        <w:rPr>
          <w:b/>
          <w:color w:val="000000"/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ru-RU"/>
        </w:rPr>
        <w:t xml:space="preserve">ОПИСАНИЕ ОБЪЕКТА ЗАКУПКИ</w: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</w:p>
    <w:p>
      <w:pPr>
        <w:pStyle w:val="878"/>
        <w:keepNext w:val="true"/>
        <w:keepLines w:val="true"/>
        <w:pBdr/>
        <w:tabs>
          <w:tab w:val="left" w:leader="none" w:pos="5460"/>
        </w:tabs>
        <w:spacing w:after="0" w:before="0" w:line="240" w:lineRule="auto"/>
        <w:ind/>
        <w:jc w:val="center"/>
        <w:rPr>
          <w:rFonts w:eastAsia="Times New Roman"/>
          <w:b/>
          <w:sz w:val="14"/>
          <w:szCs w:val="14"/>
        </w:rPr>
      </w:pPr>
      <w:r>
        <w:rPr>
          <w:b/>
          <w:color w:val="000000"/>
          <w:sz w:val="22"/>
          <w:szCs w:val="22"/>
        </w:rPr>
        <w:t xml:space="preserve">Поставка </w:t>
      </w:r>
      <w:r>
        <w:rPr>
          <w:rFonts w:eastAsia="Times New Roman"/>
          <w:b/>
          <w:sz w:val="22"/>
          <w:szCs w:val="22"/>
        </w:rPr>
        <w:t xml:space="preserve">кондиционеров бытовых</w:t>
      </w:r>
      <w:r>
        <w:rPr>
          <w:rFonts w:eastAsia="Times New Roman"/>
          <w:b/>
          <w:sz w:val="14"/>
          <w:szCs w:val="14"/>
        </w:rPr>
      </w:r>
      <w:r>
        <w:rPr>
          <w:rFonts w:eastAsia="Times New Roman"/>
          <w:b/>
          <w:sz w:val="14"/>
          <w:szCs w:val="14"/>
        </w:rPr>
      </w:r>
    </w:p>
    <w:p>
      <w:pPr>
        <w:pStyle w:val="878"/>
        <w:keepNext w:val="true"/>
        <w:keepLines w:val="true"/>
        <w:pBdr/>
        <w:tabs>
          <w:tab w:val="left" w:leader="none" w:pos="5460"/>
        </w:tabs>
        <w:spacing w:after="0" w:before="0" w:line="240" w:lineRule="auto"/>
        <w:ind/>
        <w:jc w:val="center"/>
        <w:rPr>
          <w:rFonts w:eastAsia="Times New Roman"/>
          <w:b/>
          <w:sz w:val="14"/>
          <w:szCs w:val="14"/>
        </w:rPr>
      </w:pPr>
      <w:r>
        <w:rPr>
          <w:rFonts w:eastAsia="Times New Roman"/>
          <w:b/>
          <w:sz w:val="14"/>
          <w:szCs w:val="14"/>
        </w:rPr>
      </w:r>
      <w:r>
        <w:rPr>
          <w:rFonts w:eastAsia="Times New Roman"/>
          <w:b/>
          <w:sz w:val="14"/>
          <w:szCs w:val="14"/>
        </w:rPr>
      </w:r>
      <w:r>
        <w:rPr>
          <w:rFonts w:eastAsia="Times New Roman"/>
          <w:b/>
          <w:sz w:val="14"/>
          <w:szCs w:val="14"/>
        </w:rPr>
      </w:r>
    </w:p>
    <w:p>
      <w:pPr>
        <w:pStyle w:val="908"/>
        <w:pBdr/>
        <w:tabs>
          <w:tab w:val="left" w:leader="none" w:pos="567"/>
        </w:tabs>
        <w:spacing w:after="0" w:before="0" w:line="240" w:lineRule="auto"/>
        <w:ind/>
        <w:jc w:val="both"/>
        <w:rPr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  <w:tab/>
      </w:r>
      <w:r>
        <w:rPr>
          <w:rFonts w:ascii="Times New Roman" w:hAnsi="Times New Roman" w:eastAsia="Times New Roman" w:cs="Times New Roman"/>
          <w:color w:val="000000"/>
          <w:sz w:val="20"/>
          <w:szCs w:val="20"/>
          <w:highlight w:val="white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Место поставки товара: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</w:rPr>
        <w:t xml:space="preserve">Российская Федерация, Новосибирская обл, г.о. город </w:t>
        <w:tab/>
        <w:t xml:space="preserve">Новосибирск, г Новосибирск, ул Вавилова д. 14.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9"/>
        <w:widowControl w:val="false"/>
        <w:pBdr/>
        <w:tabs>
          <w:tab w:val="left" w:leader="none" w:pos="284"/>
        </w:tabs>
        <w:spacing w:after="0" w:before="0" w:line="240" w:lineRule="auto"/>
        <w:ind w:right="0" w:left="0"/>
        <w:contextualSpacing w:val="true"/>
        <w:jc w:val="both"/>
        <w:rPr>
          <w:sz w:val="20"/>
          <w:szCs w:val="20"/>
        </w:rPr>
      </w:pPr>
      <w:r>
        <w:rPr>
          <w:sz w:val="20"/>
          <w:szCs w:val="20"/>
        </w:rPr>
        <w:tab/>
        <w:tab/>
        <w:t xml:space="preserve">Срок поставки товара: поставка и монтаж осуществляется силами и средствами Поставщика </w:t>
      </w:r>
      <w:r>
        <w:rPr>
          <w:rFonts w:eastAsia="Times New Roman"/>
          <w:sz w:val="20"/>
          <w:szCs w:val="20"/>
          <w:lang w:eastAsia="ru-RU"/>
        </w:rPr>
        <w:t xml:space="preserve">с даты заключения Контракта в течение 20 (двадцати) рабочих дней.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8"/>
        <w:pBdr/>
        <w:spacing/>
        <w:ind w:right="0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Год выпуска оборудования – не ранее 2024 года.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9"/>
        <w:widowControl w:val="false"/>
        <w:pBdr/>
        <w:tabs>
          <w:tab w:val="left" w:leader="none" w:pos="284"/>
        </w:tabs>
        <w:spacing w:after="0" w:before="0" w:line="240" w:lineRule="auto"/>
        <w:ind w:right="0" w:firstLine="709" w:left="0"/>
        <w:contextualSpacing w:val="true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9"/>
        <w:widowControl w:val="false"/>
        <w:pBdr/>
        <w:tabs>
          <w:tab w:val="left" w:leader="none" w:pos="284"/>
        </w:tabs>
        <w:spacing w:after="0" w:before="0" w:line="240" w:lineRule="auto"/>
        <w:ind w:right="0" w:firstLine="709" w:left="0"/>
        <w:contextualSpacing w:val="tru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Обоснование необходимости включения дополнительных характеристик: все дополнительные характеристики, указанные в описании объекта закупки, приведены в соответствии с потребностью Заказчика.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9"/>
        <w:widowControl w:val="false"/>
        <w:pBdr/>
        <w:tabs>
          <w:tab w:val="left" w:leader="none" w:pos="284"/>
        </w:tabs>
        <w:spacing w:after="0" w:before="0" w:line="240" w:lineRule="auto"/>
        <w:ind w:right="0" w:firstLine="709" w:left="0"/>
        <w:contextualSpacing w:val="true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8"/>
        <w:pBdr/>
        <w:spacing/>
        <w:ind w:right="0" w:firstLine="426"/>
        <w:jc w:val="both"/>
        <w:rPr>
          <w:rFonts w:cs="Times New Roman"/>
          <w:sz w:val="20"/>
          <w:szCs w:val="20"/>
          <w:lang w:eastAsia="en-US"/>
        </w:rPr>
      </w:pPr>
      <w:r>
        <w:rPr>
          <w:rFonts w:cs="Times New Roman"/>
          <w:sz w:val="20"/>
          <w:szCs w:val="20"/>
          <w:lang w:eastAsia="en-US"/>
        </w:rPr>
        <w:t xml:space="preserve">Монтаж кондиционеров (сплит-систем) и настройка, которые включают в себя монтаж внутреннего, наружного блока кондиционеров, монтаж соединительных коммуникаций между блоками, сверление отверсти</w:t>
      </w:r>
      <w:r>
        <w:rPr>
          <w:rFonts w:cs="Times New Roman"/>
          <w:sz w:val="20"/>
          <w:szCs w:val="20"/>
          <w:lang w:eastAsia="en-US"/>
        </w:rPr>
        <w:t xml:space="preserve">й в стенах, использование спецоборудования для установки наружного блока, материалы и комплектующие для монтажа, подключение к групповым кабелям электропитания электрических розеток,  при необходимости использование автовышки, подключение к электропитанию.</w:t>
      </w:r>
      <w:r>
        <w:rPr>
          <w:rFonts w:cs="Times New Roman"/>
          <w:sz w:val="20"/>
          <w:szCs w:val="20"/>
          <w:lang w:eastAsia="en-US"/>
        </w:rPr>
      </w:r>
      <w:r>
        <w:rPr>
          <w:rFonts w:cs="Times New Roman"/>
          <w:sz w:val="20"/>
          <w:szCs w:val="20"/>
          <w:lang w:eastAsia="en-US"/>
        </w:rPr>
      </w:r>
    </w:p>
    <w:p>
      <w:pPr>
        <w:pStyle w:val="878"/>
        <w:pBdr/>
        <w:spacing/>
        <w:ind w:right="0" w:firstLine="426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sz w:val="20"/>
          <w:szCs w:val="20"/>
          <w:lang w:eastAsia="en-US"/>
        </w:rPr>
        <w:t xml:space="preserve">Введение в эксплуатацию кондиционеров (сплит-системы).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pBdr/>
        <w:spacing/>
        <w:ind w:right="0" w:firstLine="851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pBdr/>
        <w:spacing/>
        <w:ind w:right="0" w:firstLine="851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Внутренний блок должен устанавливаться с учётом функционального назначения помещения, технических требований и дизайна помещения.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pBdr/>
        <w:spacing/>
        <w:ind w:right="0" w:firstLine="851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Монтаж внешних блоков производится на стенах зданий в месте, обеспечивающем надлежащее функционирование кондиционеров.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pBdr/>
        <w:spacing/>
        <w:ind w:right="0" w:firstLine="851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Крепежные конструкции внешнего блока должны быть рассчитаны на вес внешнего блока, снеговую и ветровую нагрузки.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pBdr/>
        <w:spacing/>
        <w:ind w:right="0" w:firstLine="851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Прокладка коммуникаций производится в ПВХ кабель-кана</w:t>
      </w:r>
      <w:r>
        <w:rPr>
          <w:rFonts w:cs="Times New Roman"/>
          <w:color w:val="000000"/>
          <w:sz w:val="20"/>
          <w:szCs w:val="20"/>
        </w:rPr>
        <w:t xml:space="preserve">лах. Трасса хладагента должна быть изолирована сертифицированной тепло-пароизоляцией. Ввод коммуникаций от внешнего блока кондиционера в здание должно быть выполнен с применением теплоизоляционного материала, отверстия должны быть заделаны монтажной пеной.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pBdr/>
        <w:spacing/>
        <w:ind w:right="0" w:firstLine="851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Дренажные трассы от внутренних блоков кондиционера должны быть смонтированы с необходимым уклоном для отвода конденсата самотеком.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pBdr/>
        <w:spacing/>
        <w:ind w:right="0" w:left="72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В перечень монтажных работ входит: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numPr>
          <w:ilvl w:val="0"/>
          <w:numId w:val="2"/>
        </w:numPr>
        <w:pBdr/>
        <w:spacing/>
        <w:ind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- крепление нового внешнего и внутреннего блоков кондиционера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numPr>
          <w:ilvl w:val="0"/>
          <w:numId w:val="2"/>
        </w:numPr>
        <w:pBdr/>
        <w:spacing/>
        <w:ind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- пробивка отверстий в несущих стенах - 5 шт, (толщина кирпичных стен – от 64 см -1шт, панель -4 шт )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numPr>
          <w:ilvl w:val="0"/>
          <w:numId w:val="2"/>
        </w:numPr>
        <w:pBdr/>
        <w:spacing/>
        <w:ind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- монтаж  ( трассы) ( труба медная в изоляции,  в том числе  кабель-канал )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numPr>
          <w:ilvl w:val="0"/>
          <w:numId w:val="2"/>
        </w:numPr>
        <w:pBdr/>
        <w:spacing/>
        <w:ind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- прокладка и подключение электрического кабеля  ВВГ нг (в том числе в кабель-канале)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numPr>
          <w:ilvl w:val="0"/>
          <w:numId w:val="2"/>
        </w:numPr>
        <w:pBdr/>
        <w:spacing/>
        <w:ind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- удаление воздуха из фреоновых трубопроводов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numPr>
          <w:ilvl w:val="0"/>
          <w:numId w:val="2"/>
        </w:numPr>
        <w:pBdr/>
        <w:spacing/>
        <w:ind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- заправка (дозаправка) хладагентом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numPr>
          <w:ilvl w:val="0"/>
          <w:numId w:val="2"/>
        </w:numPr>
        <w:pBdr/>
        <w:spacing/>
        <w:ind/>
        <w:jc w:val="both"/>
        <w:rPr>
          <w:rFonts w:cs="Times New Roman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- тестовый запуск кондиционера</w:t>
      </w:r>
      <w:r>
        <w:rPr>
          <w:rFonts w:cs="Times New Roman"/>
          <w:sz w:val="20"/>
          <w:szCs w:val="20"/>
        </w:rPr>
      </w:r>
      <w:r>
        <w:rPr>
          <w:rFonts w:cs="Times New Roman"/>
          <w:sz w:val="20"/>
          <w:szCs w:val="20"/>
        </w:rPr>
      </w:r>
    </w:p>
    <w:p>
      <w:pPr>
        <w:pStyle w:val="903"/>
        <w:numPr>
          <w:ilvl w:val="0"/>
          <w:numId w:val="2"/>
        </w:numPr>
        <w:pBdr/>
        <w:spacing/>
        <w:ind w:right="0" w:firstLine="426" w:left="0"/>
        <w:rPr>
          <w:rFonts w:cs="Times New Roman"/>
          <w:color w:val="000000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Установка с 08.30 до 16.00 в рабочие дни. 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pBdr/>
        <w:spacing/>
        <w:ind w:right="0" w:firstLine="708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pBdr/>
        <w:spacing/>
        <w:ind w:right="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ab/>
      </w:r>
      <w:r>
        <w:rPr>
          <w:rFonts w:cs="Times New Roman"/>
          <w:b w:val="0"/>
          <w:bCs w:val="0"/>
          <w:color w:val="000000"/>
          <w:sz w:val="20"/>
          <w:szCs w:val="20"/>
        </w:rPr>
        <w:t xml:space="preserve">Место установки блоков кондиционера должно быть согласовано с Заказчиком.</w:t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pBdr/>
        <w:spacing/>
        <w:ind w:right="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  <w:r>
        <w:rPr>
          <w:rFonts w:cs="Times New Roman"/>
          <w:color w:val="000000"/>
          <w:sz w:val="20"/>
          <w:szCs w:val="20"/>
        </w:rPr>
      </w:r>
    </w:p>
    <w:p>
      <w:pPr>
        <w:pStyle w:val="878"/>
        <w:pBdr/>
        <w:spacing/>
        <w:ind w:right="0" w:firstLine="708"/>
        <w:jc w:val="both"/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Объект установки кондиционеров:</w:t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878"/>
        <w:pBdr/>
        <w:spacing/>
        <w:ind w:right="0" w:firstLine="708"/>
        <w:jc w:val="both"/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903"/>
        <w:numPr>
          <w:ilvl w:val="0"/>
          <w:numId w:val="3"/>
        </w:numPr>
        <w:pBdr/>
        <w:spacing w:after="0" w:before="0"/>
        <w:ind/>
        <w:contextualSpacing w:val="true"/>
        <w:jc w:val="both"/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г. Новосибирск, ул. Вавилова,14, ГБУЗ НСО ГОНКТБ административный корпус </w:t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903"/>
        <w:pBdr/>
        <w:spacing w:after="0" w:before="0"/>
        <w:ind w:right="0" w:left="708"/>
        <w:contextualSpacing w:val="true"/>
        <w:jc w:val="both"/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помещение №1 площадь 35м2 – 1 шт; </w:t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903"/>
        <w:pBdr/>
        <w:spacing w:after="0" w:before="0"/>
        <w:ind w:right="0" w:left="708"/>
        <w:contextualSpacing w:val="true"/>
        <w:jc w:val="both"/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помещение №2 площадь 55м2 – 1 шт.</w:t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903"/>
        <w:pBdr/>
        <w:spacing/>
        <w:ind w:right="0" w:left="709"/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помещение №3 площадь 50м2 – 1 шт; </w:t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903"/>
        <w:pBdr/>
        <w:spacing/>
        <w:ind w:right="0" w:left="709"/>
        <w:rPr>
          <w:rFonts w:eastAsia="Times New Roman" w:cs="Times New Roman"/>
          <w:b w:val="0"/>
          <w:bCs w:val="0"/>
          <w:sz w:val="20"/>
          <w:szCs w:val="20"/>
          <w:shd w:val="clear" w:color="auto" w:fill="auto"/>
        </w:rPr>
      </w:pP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помещение№4 площадь 20м2 - 1 шт.</w:t>
      </w:r>
      <w:r>
        <w:rPr>
          <w:rFonts w:eastAsia="Times New Roman" w:cs="Times New Roman"/>
          <w:b w:val="0"/>
          <w:bCs w:val="0"/>
          <w:sz w:val="20"/>
          <w:szCs w:val="20"/>
          <w:shd w:val="clear" w:color="auto" w:fill="auto"/>
        </w:rPr>
      </w:r>
      <w:r>
        <w:rPr>
          <w:rFonts w:eastAsia="Times New Roman" w:cs="Times New Roman"/>
          <w:b w:val="0"/>
          <w:bCs w:val="0"/>
          <w:sz w:val="20"/>
          <w:szCs w:val="20"/>
          <w:shd w:val="clear" w:color="auto" w:fill="auto"/>
        </w:rPr>
      </w:r>
    </w:p>
    <w:p>
      <w:pPr>
        <w:pStyle w:val="903"/>
        <w:pBdr/>
        <w:spacing/>
        <w:ind w:right="0" w:firstLine="142" w:left="567"/>
        <w:jc w:val="both"/>
        <w:rPr>
          <w:rFonts w:cs="Times New Roman"/>
          <w:b w:val="0"/>
          <w:bCs w:val="0"/>
          <w:sz w:val="20"/>
          <w:szCs w:val="20"/>
          <w:shd w:val="clear" w:color="auto" w:fill="auto"/>
        </w:rPr>
      </w:pPr>
      <w:r>
        <w:rPr>
          <w:rFonts w:eastAsia="Times New Roman" w:cs="Times New Roman"/>
          <w:b w:val="0"/>
          <w:bCs w:val="0"/>
          <w:sz w:val="20"/>
          <w:szCs w:val="20"/>
          <w:shd w:val="clear" w:color="auto" w:fill="auto"/>
        </w:rPr>
        <w:t xml:space="preserve"> </w:t>
      </w:r>
      <w:r>
        <w:rPr>
          <w:rFonts w:cs="Times New Roman"/>
          <w:b w:val="0"/>
          <w:bCs w:val="0"/>
          <w:sz w:val="20"/>
          <w:szCs w:val="20"/>
          <w:shd w:val="clear" w:color="auto" w:fill="auto"/>
        </w:rPr>
        <w:t xml:space="preserve">Все помещения расположены на 2 этаже  панельного здания.</w:t>
      </w:r>
      <w:r>
        <w:rPr>
          <w:rFonts w:cs="Times New Roman"/>
          <w:b w:val="0"/>
          <w:bCs w:val="0"/>
          <w:sz w:val="20"/>
          <w:szCs w:val="20"/>
          <w:shd w:val="clear" w:color="auto" w:fill="auto"/>
        </w:rPr>
      </w:r>
      <w:r>
        <w:rPr>
          <w:rFonts w:cs="Times New Roman"/>
          <w:b w:val="0"/>
          <w:bCs w:val="0"/>
          <w:sz w:val="20"/>
          <w:szCs w:val="20"/>
          <w:shd w:val="clear" w:color="auto" w:fill="auto"/>
        </w:rPr>
      </w:r>
    </w:p>
    <w:p>
      <w:pPr>
        <w:pStyle w:val="903"/>
        <w:pBdr/>
        <w:spacing/>
        <w:ind w:right="0" w:left="1068"/>
        <w:jc w:val="both"/>
        <w:rPr>
          <w:rFonts w:cs="Times New Roman"/>
          <w:b w:val="0"/>
          <w:bCs w:val="0"/>
          <w:sz w:val="20"/>
          <w:szCs w:val="20"/>
          <w:shd w:val="clear" w:color="auto" w:fill="auto"/>
        </w:rPr>
      </w:pPr>
      <w:r>
        <w:rPr>
          <w:rFonts w:cs="Times New Roman"/>
          <w:b w:val="0"/>
          <w:bCs w:val="0"/>
          <w:sz w:val="20"/>
          <w:szCs w:val="20"/>
          <w:shd w:val="clear" w:color="auto" w:fill="auto"/>
        </w:rPr>
      </w:r>
      <w:r>
        <w:rPr>
          <w:rFonts w:cs="Times New Roman"/>
          <w:b w:val="0"/>
          <w:bCs w:val="0"/>
          <w:sz w:val="20"/>
          <w:szCs w:val="20"/>
          <w:shd w:val="clear" w:color="auto" w:fill="auto"/>
        </w:rPr>
      </w:r>
      <w:r>
        <w:rPr>
          <w:rFonts w:cs="Times New Roman"/>
          <w:b w:val="0"/>
          <w:bCs w:val="0"/>
          <w:sz w:val="20"/>
          <w:szCs w:val="20"/>
          <w:shd w:val="clear" w:color="auto" w:fill="auto"/>
        </w:rPr>
      </w:r>
    </w:p>
    <w:p>
      <w:pPr>
        <w:pStyle w:val="903"/>
        <w:numPr>
          <w:ilvl w:val="0"/>
          <w:numId w:val="3"/>
        </w:numPr>
        <w:pBdr/>
        <w:spacing w:after="0" w:before="0"/>
        <w:ind/>
        <w:contextualSpacing w:val="true"/>
        <w:jc w:val="both"/>
        <w:rPr>
          <w:rFonts w:cs="Times New Roman"/>
          <w:color w:val="000000"/>
          <w:sz w:val="20"/>
          <w:szCs w:val="20"/>
          <w:shd w:val="clear" w:color="auto" w:fill="auto"/>
        </w:rPr>
      </w:pPr>
      <w:r>
        <w:rPr>
          <w:rFonts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г. Новосибирск, ул. Вавилова,14, ГБУЗ НСО ГОНКТБ Главный корпус</w:t>
      </w:r>
      <w:r>
        <w:rPr>
          <w:rFonts w:cs="Times New Roman"/>
          <w:color w:val="000000"/>
          <w:sz w:val="20"/>
          <w:szCs w:val="20"/>
          <w:shd w:val="clear" w:color="auto" w:fill="auto"/>
        </w:rPr>
      </w:r>
      <w:r>
        <w:rPr>
          <w:rFonts w:cs="Times New Roman"/>
          <w:color w:val="000000"/>
          <w:sz w:val="20"/>
          <w:szCs w:val="20"/>
          <w:shd w:val="clear" w:color="auto" w:fill="auto"/>
        </w:rPr>
      </w:r>
    </w:p>
    <w:p>
      <w:pPr>
        <w:pStyle w:val="903"/>
        <w:pBdr/>
        <w:spacing w:after="0" w:before="0"/>
        <w:ind w:right="0" w:left="426"/>
        <w:contextualSpacing w:val="true"/>
        <w:jc w:val="both"/>
        <w:rPr>
          <w:rFonts w:cs="Times New Roman"/>
          <w:sz w:val="20"/>
          <w:szCs w:val="20"/>
          <w:shd w:val="clear" w:color="auto" w:fill="auto"/>
        </w:rPr>
      </w:pPr>
      <w:r>
        <w:rPr>
          <w:rFonts w:cs="Times New Roman"/>
          <w:color w:val="000000"/>
          <w:sz w:val="20"/>
          <w:szCs w:val="20"/>
          <w:shd w:val="clear" w:color="auto" w:fill="auto"/>
        </w:rPr>
        <w:t xml:space="preserve">помещение ординаторской -площадь 25 м2  - – 1 шт; </w:t>
      </w:r>
      <w:r>
        <w:rPr>
          <w:rFonts w:cs="Times New Roman"/>
          <w:sz w:val="20"/>
          <w:szCs w:val="20"/>
          <w:shd w:val="clear" w:color="auto" w:fill="auto"/>
        </w:rPr>
      </w:r>
      <w:r>
        <w:rPr>
          <w:rFonts w:cs="Times New Roman"/>
          <w:sz w:val="20"/>
          <w:szCs w:val="20"/>
          <w:shd w:val="clear" w:color="auto" w:fill="auto"/>
        </w:rPr>
      </w:r>
    </w:p>
    <w:p>
      <w:pPr>
        <w:pStyle w:val="903"/>
        <w:pBdr/>
        <w:spacing/>
        <w:ind w:right="0" w:left="426"/>
        <w:jc w:val="both"/>
        <w:rPr>
          <w:rFonts w:cs="Times New Roman"/>
          <w:sz w:val="20"/>
          <w:szCs w:val="20"/>
          <w:shd w:val="clear" w:color="auto" w:fill="auto"/>
        </w:rPr>
      </w:pPr>
      <w:r>
        <w:rPr>
          <w:rFonts w:cs="Times New Roman"/>
          <w:sz w:val="20"/>
          <w:szCs w:val="20"/>
          <w:shd w:val="clear" w:color="auto" w:fill="auto"/>
        </w:rPr>
        <w:t xml:space="preserve">помещение расположено на 3 этаже  кирпичного здания.</w:t>
      </w:r>
      <w:r>
        <w:rPr>
          <w:rFonts w:cs="Times New Roman"/>
          <w:sz w:val="20"/>
          <w:szCs w:val="20"/>
          <w:shd w:val="clear" w:color="auto" w:fill="auto"/>
        </w:rPr>
      </w:r>
      <w:r>
        <w:rPr>
          <w:rFonts w:cs="Times New Roman"/>
          <w:sz w:val="20"/>
          <w:szCs w:val="20"/>
          <w:shd w:val="clear" w:color="auto" w:fill="auto"/>
        </w:rPr>
      </w:r>
    </w:p>
    <w:p>
      <w:pPr>
        <w:pStyle w:val="903"/>
        <w:pBdr/>
        <w:spacing/>
        <w:ind w:right="0" w:left="426"/>
        <w:jc w:val="both"/>
        <w:rPr>
          <w:rFonts w:cs="Times New Roman"/>
          <w:sz w:val="20"/>
          <w:szCs w:val="20"/>
          <w:shd w:val="clear" w:color="auto" w:fill="auto"/>
        </w:rPr>
      </w:pPr>
      <w:r>
        <w:rPr>
          <w:rFonts w:cs="Times New Roman"/>
          <w:sz w:val="20"/>
          <w:szCs w:val="20"/>
          <w:shd w:val="clear" w:color="auto" w:fill="auto"/>
        </w:rPr>
      </w:r>
      <w:r>
        <w:rPr>
          <w:rFonts w:cs="Times New Roman"/>
          <w:sz w:val="20"/>
          <w:szCs w:val="20"/>
          <w:shd w:val="clear" w:color="auto" w:fill="auto"/>
        </w:rPr>
      </w:r>
      <w:r>
        <w:rPr>
          <w:rFonts w:cs="Times New Roman"/>
          <w:sz w:val="20"/>
          <w:szCs w:val="20"/>
          <w:shd w:val="clear" w:color="auto" w:fill="auto"/>
        </w:rPr>
      </w:r>
    </w:p>
    <w:p>
      <w:pPr>
        <w:pStyle w:val="878"/>
        <w:pBdr/>
        <w:tabs>
          <w:tab w:val="left" w:leader="none" w:pos="1080"/>
        </w:tabs>
        <w:spacing w:after="0" w:before="0" w:line="240" w:lineRule="auto"/>
        <w:ind w:righ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Товар устанавливается гарантия Производителя: </w:t>
      </w:r>
      <w:r>
        <w:rPr>
          <w:b/>
          <w:sz w:val="20"/>
          <w:szCs w:val="20"/>
        </w:rPr>
        <w:t xml:space="preserve">не менее 36 (тридцати шести) месяцев</w:t>
      </w:r>
      <w:r>
        <w:rPr>
          <w:sz w:val="20"/>
          <w:szCs w:val="20"/>
        </w:rPr>
        <w:t xml:space="preserve"> с даты поставки Товара.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8"/>
        <w:pBdr/>
        <w:spacing w:after="0" w:before="0" w:line="240" w:lineRule="auto"/>
        <w:ind w:righ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Товар устанавливается гарантия Поставщика: </w:t>
      </w:r>
      <w:r>
        <w:rPr>
          <w:b/>
          <w:sz w:val="20"/>
          <w:szCs w:val="20"/>
        </w:rPr>
        <w:t xml:space="preserve">не менее 36 (тридцати шести) месяцев</w:t>
      </w:r>
      <w:r>
        <w:rPr>
          <w:sz w:val="20"/>
          <w:szCs w:val="20"/>
        </w:rPr>
        <w:t xml:space="preserve"> с даты поставки Товара, но не менее срока предоставления гарантии производителя.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8"/>
        <w:pBdr/>
        <w:tabs>
          <w:tab w:val="left" w:leader="none" w:pos="851"/>
          <w:tab w:val="left" w:leader="none" w:pos="993"/>
        </w:tabs>
        <w:spacing w:after="0" w:before="0" w:line="240" w:lineRule="auto"/>
        <w:ind w:right="0" w:firstLine="709"/>
        <w:contextualSpacing w:val="tru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 гарантией понимается устранение Поставщиком своими силами и за свой счет допущенны</w:t>
      </w:r>
      <w:r>
        <w:rPr>
          <w:sz w:val="20"/>
          <w:szCs w:val="20"/>
        </w:rPr>
        <w:t xml:space="preserve">х по его вине недостатков, выявленных после приемки Товара.. В период действия гарантийного срока замена Товара или ремонт любой неисправной части Товара осуществляется Поставщиком за его счет, если неисправность не является результатом действия непреодоли</w:t>
      </w:r>
      <w:r>
        <w:rPr>
          <w:sz w:val="20"/>
          <w:szCs w:val="20"/>
        </w:rPr>
        <w:t xml:space="preserve">мой силы, небрежности, неправильного обращения, внесения изменений или повреждения со стороны Заказчика или третьих лиц. В течение гарантийного срока в случае возникновения неисправностей в работе поставленного Товара представитель Поставщика должен прибыт</w:t>
      </w:r>
      <w:r>
        <w:rPr>
          <w:sz w:val="20"/>
          <w:szCs w:val="20"/>
        </w:rPr>
        <w:t xml:space="preserve">ь в течение 5 (пяти) 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Товара. В случае невозможности устранения недостатков на месте Поставщик (его представ</w:t>
      </w:r>
      <w:r>
        <w:rPr>
          <w:sz w:val="20"/>
          <w:szCs w:val="20"/>
        </w:rPr>
        <w:t xml:space="preserve">итель) за счет собственных средств осуществляет доставку Товара до места проведения необходимого ремонта, производит необходимый ремонт и после его завершения возвращает Товар. Срок ремонта поставленного Товара не должен превышать 30 (тридцать) календарных</w:t>
      </w:r>
      <w:r>
        <w:rPr>
          <w:sz w:val="20"/>
          <w:szCs w:val="20"/>
        </w:rPr>
        <w:t xml:space="preserve"> дней. В случае невозможности произвести ремонт в указанный срок Заказчику предоставляется функционально аналогичное оборудование на время ремонта. Если Заказчик был лишен возможности использовать Товар, в отношении которого установлен гарантийный срок, по</w:t>
      </w:r>
      <w:r>
        <w:rPr>
          <w:sz w:val="20"/>
          <w:szCs w:val="20"/>
        </w:rPr>
        <w:t xml:space="preserve"> обстоятельствам, зависящим от Поставщика, течение гарантийного срока приостанавливается до устранения соответствующих обстоятельств Поставщиком. Все расходы, связанные с возвратом, ремонтом Товара ненадлежащего качества, осуществляются за счет Поставщика.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8"/>
        <w:pBdr/>
        <w:tabs>
          <w:tab w:val="left" w:leader="none" w:pos="851"/>
          <w:tab w:val="left" w:leader="none" w:pos="993"/>
        </w:tabs>
        <w:spacing w:after="0" w:before="0" w:line="240" w:lineRule="auto"/>
        <w:ind w:right="0" w:firstLine="709"/>
        <w:contextualSpacing w:val="true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pPr w:horzAnchor="text" w:tblpX="-108" w:vertAnchor="text" w:tblpY="1" w:leftFromText="0" w:topFromText="0" w:rightFromText="180" w:bottomFromText="0"/>
        <w:tblOverlap w:val="never"/>
        <w:tblW w:w="5100" w:type="pct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2"/>
        <w:gridCol w:w="1314"/>
        <w:gridCol w:w="1759"/>
        <w:gridCol w:w="3119"/>
        <w:gridCol w:w="2071"/>
        <w:gridCol w:w="1306"/>
        <w:gridCol w:w="2105"/>
        <w:gridCol w:w="1289"/>
        <w:gridCol w:w="796"/>
        <w:gridCol w:w="1089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Наименование товара</w:t>
            </w:r>
            <w:r/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1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Основные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 xml:space="preserve">Ед. изм.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 xml:space="preserve">Кол-во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Наименование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Значения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Единица измерения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Обоснование включения характеристики в описание объекта закупки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Соответствие 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b/>
                <w:color w:val="000000"/>
                <w:sz w:val="20"/>
                <w:szCs w:val="20"/>
              </w:rPr>
              <w:t xml:space="preserve">ГОСТ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center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Cs/>
                <w:color w:val="000000"/>
                <w:sz w:val="20"/>
                <w:szCs w:val="20"/>
              </w:rP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rStyle w:val="891"/>
                <w:sz w:val="20"/>
                <w:szCs w:val="20"/>
              </w:rPr>
              <w:t xml:space="preserve">28.25.12.130-00000010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rStyle w:val="890"/>
                <w:sz w:val="20"/>
                <w:szCs w:val="20"/>
              </w:rPr>
              <w:t xml:space="preserve">Кондиционер бытовой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Вид кондиционера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Сплит-система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color w:val="000000"/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  <w:lang w:eastAsia="zh-CN"/>
              </w:rPr>
              <w:t xml:space="preserve">ГОСТ </w:t>
            </w:r>
            <w:r>
              <w:rPr>
                <w:bCs/>
                <w:sz w:val="20"/>
                <w:szCs w:val="20"/>
              </w:rPr>
              <w:t xml:space="preserve">Р 55012-2012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  <w:shd w:val="clear" w:color="auto" w:fill="auto"/>
              </w:rPr>
            </w:pPr>
            <w:r>
              <w:rPr>
                <w:sz w:val="20"/>
                <w:szCs w:val="20"/>
                <w:shd w:val="clear" w:color="auto" w:fill="auto"/>
              </w:rPr>
              <w:t xml:space="preserve">штука</w:t>
            </w:r>
            <w:r>
              <w:rPr>
                <w:sz w:val="20"/>
                <w:szCs w:val="20"/>
                <w:shd w:val="clear" w:color="auto" w:fill="auto"/>
              </w:rPr>
            </w:r>
            <w:r>
              <w:rPr>
                <w:sz w:val="20"/>
                <w:szCs w:val="20"/>
                <w:shd w:val="clear" w:color="auto" w:fill="auto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  <w:shd w:val="clear" w:color="auto" w:fill="auto"/>
              </w:rPr>
            </w:pPr>
            <w:r>
              <w:rPr>
                <w:sz w:val="20"/>
                <w:szCs w:val="20"/>
                <w:shd w:val="clear" w:color="auto" w:fill="auto"/>
              </w:rPr>
            </w:r>
            <w:r>
              <w:rPr>
                <w:sz w:val="20"/>
                <w:szCs w:val="20"/>
                <w:shd w:val="clear" w:color="auto" w:fill="auto"/>
              </w:rPr>
            </w:r>
            <w:r>
              <w:rPr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  <w:shd w:val="clear" w:color="auto" w:fill="auto"/>
              </w:rPr>
              <w:t xml:space="preserve">2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Инверторный </w:t>
            </w:r>
            <w:r>
              <w:rPr>
                <w:sz w:val="20"/>
                <w:szCs w:val="20"/>
              </w:rPr>
              <w:t xml:space="preserve">тип </w:t>
            </w:r>
            <w:r>
              <w:rPr>
                <w:sz w:val="20"/>
                <w:szCs w:val="20"/>
                <w:shd w:val="clear" w:color="auto" w:fill="ffffff"/>
              </w:rPr>
              <w:t xml:space="preserve"> кондиционера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нет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color w:val="000000"/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Режим работы</w:t>
            </w:r>
            <w:r>
              <w:rPr>
                <w:sz w:val="20"/>
                <w:szCs w:val="20"/>
                <w:shd w:val="clear" w:color="auto" w:fill="eff0f1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 xml:space="preserve">кондиционера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Охлаждение,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Обогрев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Тип внутреннего блока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настенный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Класс энергоэффективности (в режиме нагрева)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sz w:val="20"/>
                <w:szCs w:val="20"/>
                <w:shd w:val="clear" w:color="auto" w:fill="ffffff"/>
              </w:rPr>
              <w:t xml:space="preserve">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Класс энергоэффективности (в режиме охлаждения)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sz w:val="20"/>
                <w:szCs w:val="20"/>
                <w:shd w:val="clear" w:color="auto" w:fill="ffffff"/>
              </w:rPr>
              <w:t xml:space="preserve">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Мощность в режиме охлаждения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Киловатт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Мощность в режиме нагрева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Киловатт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Наличие фильтров грубой очистки воздуха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i/>
                <w:sz w:val="20"/>
                <w:szCs w:val="20"/>
                <w:shd w:val="clear" w:color="auto" w:fill="ffffff"/>
              </w:rPr>
              <w:t xml:space="preserve">да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ndefined"/>
              </w:rPr>
              <w:t xml:space="preserve">Дополнительные функции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Режим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  <w:lang w:val="undefined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втоматической поддержки температуры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ndefined"/>
              </w:rPr>
              <w:t xml:space="preserve">-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  <w:r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 кондиционера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Производительность по воздуху  внутреннего блока</w:t>
            </w:r>
            <w:r>
              <w:rPr>
                <w:sz w:val="20"/>
                <w:szCs w:val="20"/>
                <w:lang w:val="undefined"/>
              </w:rPr>
              <w:t xml:space="preserve">, м3/час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</w:rPr>
              <w:t xml:space="preserve">Уровень шума внутреннего блока</w:t>
            </w:r>
            <w:r>
              <w:rPr>
                <w:sz w:val="20"/>
                <w:szCs w:val="20"/>
                <w:lang w:val="undefined"/>
              </w:rPr>
              <w:t xml:space="preserve">, дБ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Режим </w:t>
            </w:r>
            <w:r>
              <w:rPr>
                <w:sz w:val="20"/>
                <w:szCs w:val="20"/>
                <w:lang w:val="en-US"/>
              </w:rPr>
              <w:t xml:space="preserve">SLEEP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Автоматическая очистка испарителя</w:t>
            </w:r>
            <w:r>
              <w:rPr>
                <w:rFonts w:eastAsia="Times New Roman"/>
                <w:sz w:val="20"/>
                <w:szCs w:val="20"/>
              </w:rPr>
            </w:r>
            <w:r>
              <w:rPr>
                <w:rFonts w:eastAsia="Times New Roman"/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Таймер </w:t>
            </w:r>
            <w:r>
              <w:rPr>
                <w:rFonts w:eastAsia="Times New Roman"/>
                <w:sz w:val="20"/>
                <w:szCs w:val="20"/>
              </w:rPr>
            </w:r>
            <w:r>
              <w:rPr>
                <w:rFonts w:eastAsia="Times New Roman"/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Пульт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длинна магистрали ( трассы)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Белый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530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39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 7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ndefined"/>
              </w:rPr>
              <w:t xml:space="preserve">-</w:t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ndefined"/>
              </w:rPr>
              <w:t xml:space="preserve">-</w:t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ndefined"/>
              </w:rPr>
              <w:t xml:space="preserve">Метр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Дополнительная информация, не предусмотренная каталогом КТРУ, включена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для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сохранения интерьера фасада здания, </w:t>
            </w:r>
            <w:r>
              <w:rPr>
                <w:color w:val="000000"/>
                <w:sz w:val="20"/>
                <w:szCs w:val="20"/>
                <w:shd w:val="clear" w:color="auto" w:fill="auto"/>
              </w:rPr>
              <w:t xml:space="preserve">необходимы в связи с  потребностью Заказчика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03"/>
        <w:pBdr/>
        <w:tabs>
          <w:tab w:val="left" w:leader="none" w:pos="-426"/>
          <w:tab w:val="left" w:leader="none" w:pos="567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/>
        <w:ind w:right="0" w:left="142"/>
        <w:contextualSpacing w:val="true"/>
        <w:rPr/>
      </w:pPr>
      <w:r/>
      <w:r/>
    </w:p>
    <w:tbl>
      <w:tblPr>
        <w:tblpPr w:horzAnchor="text" w:tblpX="-108" w:vertAnchor="text" w:tblpY="1" w:leftFromText="0" w:topFromText="0" w:rightFromText="180" w:bottomFromText="0"/>
        <w:tblOverlap w:val="never"/>
        <w:tblW w:w="5129" w:type="pct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3"/>
        <w:gridCol w:w="1535"/>
        <w:gridCol w:w="1647"/>
        <w:gridCol w:w="2938"/>
        <w:gridCol w:w="2220"/>
        <w:gridCol w:w="1234"/>
        <w:gridCol w:w="2079"/>
        <w:gridCol w:w="1231"/>
        <w:gridCol w:w="952"/>
        <w:gridCol w:w="1100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Наименование товара</w:t>
            </w:r>
            <w:r/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08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Основные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 xml:space="preserve">Ед. изм.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 xml:space="preserve">Кол-</w:t>
            </w:r>
            <w:r>
              <w:rPr>
                <w:b/>
                <w:bCs/>
                <w:sz w:val="20"/>
                <w:szCs w:val="20"/>
              </w:rPr>
              <w:t xml:space="preserve">во</w:t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Наименование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Значения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Единица измерения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Обоснование включения характеристики в описание объекта закупки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Соответствие 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b/>
                <w:color w:val="000000"/>
                <w:sz w:val="20"/>
                <w:szCs w:val="20"/>
              </w:rPr>
              <w:t xml:space="preserve">ГОСТ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Cs/>
                <w:color w:val="000000"/>
                <w:sz w:val="20"/>
                <w:szCs w:val="20"/>
              </w:rPr>
              <w:t xml:space="preserve">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rStyle w:val="891"/>
                <w:sz w:val="20"/>
                <w:szCs w:val="20"/>
              </w:rPr>
              <w:t xml:space="preserve">28.25.12.130-00000010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rStyle w:val="890"/>
                <w:sz w:val="20"/>
                <w:szCs w:val="20"/>
              </w:rPr>
              <w:t xml:space="preserve">Кондиционер бытовой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Вид кондиционера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Сплит-система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color w:val="000000"/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  <w:lang w:eastAsia="zh-CN"/>
              </w:rPr>
              <w:t xml:space="preserve">ГОСТ </w:t>
            </w:r>
            <w:r>
              <w:rPr>
                <w:bCs/>
                <w:sz w:val="20"/>
                <w:szCs w:val="20"/>
              </w:rPr>
              <w:t xml:space="preserve">Р 55012-2012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  <w:shd w:val="clear" w:color="auto" w:fill="auto"/>
              </w:rPr>
            </w:pPr>
            <w:r>
              <w:rPr>
                <w:sz w:val="20"/>
                <w:szCs w:val="20"/>
                <w:shd w:val="clear" w:color="auto" w:fill="auto"/>
              </w:rPr>
              <w:t xml:space="preserve">штука</w:t>
            </w:r>
            <w:r>
              <w:rPr>
                <w:sz w:val="20"/>
                <w:szCs w:val="20"/>
                <w:shd w:val="clear" w:color="auto" w:fill="auto"/>
              </w:rPr>
            </w:r>
            <w:r>
              <w:rPr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  <w:shd w:val="clear" w:color="auto" w:fill="auto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Инверторный </w:t>
            </w:r>
            <w:r>
              <w:rPr>
                <w:sz w:val="20"/>
                <w:szCs w:val="20"/>
              </w:rPr>
              <w:t xml:space="preserve">тип </w:t>
            </w:r>
            <w:r>
              <w:rPr>
                <w:sz w:val="20"/>
                <w:szCs w:val="20"/>
                <w:shd w:val="clear" w:color="auto" w:fill="ffffff"/>
              </w:rPr>
              <w:t xml:space="preserve"> кондиционера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нет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color w:val="000000"/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Режим работы</w:t>
            </w:r>
            <w:r>
              <w:rPr>
                <w:sz w:val="20"/>
                <w:szCs w:val="20"/>
                <w:shd w:val="clear" w:color="auto" w:fill="eff0f1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 xml:space="preserve">кондиционера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Охлаждение,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Обогрев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Тип внутреннего блока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настенный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Класс энергоэффективности (в режиме нагрева)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sz w:val="20"/>
                <w:szCs w:val="20"/>
                <w:shd w:val="clear" w:color="auto" w:fill="ffffff"/>
              </w:rPr>
              <w:t xml:space="preserve">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Класс энергоэффективности (в режиме охлаждения)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sz w:val="20"/>
                <w:szCs w:val="20"/>
                <w:shd w:val="clear" w:color="auto" w:fill="ffffff"/>
              </w:rPr>
              <w:t xml:space="preserve">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Мощность в режиме охлаждения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sz w:val="20"/>
                <w:szCs w:val="20"/>
              </w:rPr>
              <w:t xml:space="preserve">3,5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Киловатт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Мощность в режиме нагрева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sz w:val="20"/>
                <w:szCs w:val="20"/>
              </w:rPr>
              <w:t xml:space="preserve">3,5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Киловатт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Наличие фильтров грубой очистки воздуха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i/>
                <w:sz w:val="20"/>
                <w:szCs w:val="20"/>
                <w:shd w:val="clear" w:color="auto" w:fill="ffffff"/>
              </w:rPr>
              <w:t xml:space="preserve">да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Дополнительные функции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Режим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втоматической поддержки температуры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 кондиционера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Производительность по воздуху  внутреннего блока</w:t>
            </w:r>
            <w:r>
              <w:rPr>
                <w:sz w:val="20"/>
                <w:szCs w:val="20"/>
              </w:rPr>
              <w:t xml:space="preserve">, м3/час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</w:rPr>
              <w:t xml:space="preserve">Уровень шума внутреннего блока</w:t>
            </w:r>
            <w:r>
              <w:rPr>
                <w:sz w:val="20"/>
                <w:szCs w:val="20"/>
              </w:rPr>
              <w:t xml:space="preserve">, дБ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Режим </w:t>
            </w:r>
            <w:r>
              <w:rPr>
                <w:sz w:val="20"/>
                <w:szCs w:val="20"/>
                <w:lang w:val="en-US"/>
              </w:rPr>
              <w:t xml:space="preserve">SLEEP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Автоматическая очистка испарителя</w:t>
            </w:r>
            <w:r>
              <w:rPr>
                <w:rFonts w:eastAsia="Times New Roman"/>
                <w:sz w:val="20"/>
                <w:szCs w:val="20"/>
              </w:rPr>
            </w:r>
            <w:r>
              <w:rPr>
                <w:rFonts w:eastAsia="Times New Roman"/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Таймер </w:t>
            </w:r>
            <w:r>
              <w:rPr>
                <w:rFonts w:eastAsia="Times New Roman"/>
                <w:sz w:val="20"/>
                <w:szCs w:val="20"/>
              </w:rPr>
            </w:r>
            <w:r>
              <w:rPr>
                <w:rFonts w:eastAsia="Times New Roman"/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Пульт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длинна магистрали ( трассы)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Белый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5</w:t>
            </w:r>
            <w:r>
              <w:rPr>
                <w:sz w:val="20"/>
                <w:szCs w:val="20"/>
                <w:lang w:val="undefined"/>
              </w:rPr>
              <w:t xml:space="preserve">7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  <w:lang w:val="undefined"/>
              </w:rPr>
              <w:t xml:space="preserve">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 7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</w:rPr>
              <w:t xml:space="preserve">Метр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 xml:space="preserve">Дополнительная информация, не предусмотренная каталогом КТРУ, включена для  сохранения интерьера фасада здания, </w:t>
            </w:r>
            <w:r>
              <w:rPr>
                <w:rFonts w:eastAsia="Times New Roman"/>
                <w:color w:val="000000"/>
                <w:sz w:val="20"/>
                <w:szCs w:val="20"/>
                <w:shd w:val="clear" w:color="auto" w:fill="auto"/>
              </w:rPr>
              <w:t xml:space="preserve">необходимы в связи с  потребностью Заказчика</w:t>
            </w:r>
            <w:r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Наименование товара</w:t>
            </w:r>
            <w:r/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08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Основные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 xml:space="preserve">Ед. изм.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 xml:space="preserve">Кол-во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Наименование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Значения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Единица измерения характеристики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Обоснование включения характеристики в описание объекта закупки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Соответствие 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b/>
                <w:color w:val="000000"/>
                <w:sz w:val="20"/>
                <w:szCs w:val="20"/>
              </w:rPr>
              <w:t xml:space="preserve">ГОСТ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bCs/>
                <w:color w:val="000000"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rStyle w:val="891"/>
                <w:sz w:val="20"/>
                <w:szCs w:val="20"/>
              </w:rPr>
              <w:t xml:space="preserve">28.25.12.130-00000010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rStyle w:val="890"/>
                <w:sz w:val="20"/>
                <w:szCs w:val="20"/>
              </w:rPr>
              <w:t xml:space="preserve">Кондиционер бытовой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Вид кондиционера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Сплит-система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color w:val="000000"/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  <w:lang w:eastAsia="zh-CN"/>
              </w:rPr>
              <w:t xml:space="preserve">ГОСТ </w:t>
            </w:r>
            <w:r>
              <w:rPr>
                <w:bCs/>
                <w:sz w:val="20"/>
                <w:szCs w:val="20"/>
              </w:rPr>
              <w:t xml:space="preserve">Р 55012-2012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  <w:shd w:val="clear" w:color="auto" w:fill="auto"/>
              </w:rPr>
            </w:pPr>
            <w:r>
              <w:rPr>
                <w:sz w:val="20"/>
                <w:szCs w:val="20"/>
                <w:shd w:val="clear" w:color="auto" w:fill="auto"/>
              </w:rPr>
              <w:t xml:space="preserve">штука</w:t>
            </w:r>
            <w:r>
              <w:rPr>
                <w:sz w:val="20"/>
                <w:szCs w:val="20"/>
                <w:shd w:val="clear" w:color="auto" w:fill="auto"/>
              </w:rPr>
            </w:r>
            <w:r>
              <w:rPr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  <w:shd w:val="clear" w:color="auto" w:fill="auto"/>
              </w:rPr>
              <w:t xml:space="preserve">2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Инверторный </w:t>
            </w:r>
            <w:r>
              <w:rPr>
                <w:sz w:val="20"/>
                <w:szCs w:val="20"/>
              </w:rPr>
              <w:t xml:space="preserve">тип </w:t>
            </w:r>
            <w:r>
              <w:rPr>
                <w:sz w:val="20"/>
                <w:szCs w:val="20"/>
                <w:shd w:val="clear" w:color="auto" w:fill="ffffff"/>
              </w:rPr>
              <w:t xml:space="preserve"> кондиционера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нет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color w:val="000000"/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Режим работы</w:t>
            </w:r>
            <w:r>
              <w:rPr>
                <w:sz w:val="20"/>
                <w:szCs w:val="20"/>
                <w:shd w:val="clear" w:color="auto" w:fill="eff0f1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 xml:space="preserve">кондиционера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Охлаждение,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Обогрев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Тип внутреннего блока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настенный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Класс энергоэффективности (в режиме нагрева)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sz w:val="20"/>
                <w:szCs w:val="20"/>
                <w:shd w:val="clear" w:color="auto" w:fill="ffffff"/>
              </w:rPr>
              <w:t xml:space="preserve">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Класс энергоэффективности (в режиме охлаждения)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sz w:val="20"/>
                <w:szCs w:val="20"/>
                <w:shd w:val="clear" w:color="auto" w:fill="ffffff"/>
              </w:rPr>
              <w:t xml:space="preserve">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Мощность в режиме охлаждения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Киловатт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  <w:shd w:val="clear" w:color="auto" w:fill="ffffff"/>
              </w:rPr>
              <w:t xml:space="preserve">Мощность в режиме нагрева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Киловатт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both"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sz w:val="20"/>
                <w:szCs w:val="20"/>
              </w:rPr>
              <w:t xml:space="preserve">Наличие фильтров грубой очистки воздуха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i/>
                <w:sz w:val="20"/>
                <w:szCs w:val="20"/>
                <w:shd w:val="clear" w:color="auto" w:fill="ffffff"/>
              </w:rPr>
              <w:t xml:space="preserve">да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/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Дополнительные функции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Режим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втоматической поддержки температуры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pBdr/>
              <w:spacing/>
              <w:ind/>
              <w:rPr/>
            </w:pPr>
            <w:r>
              <w:rPr>
                <w:sz w:val="20"/>
                <w:szCs w:val="20"/>
              </w:rPr>
              <w:t xml:space="preserve">Соответствует описанию по КТРУ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 кондиционера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Производительность по воздуху  внутреннего блока</w:t>
            </w:r>
            <w:r>
              <w:rPr>
                <w:sz w:val="20"/>
                <w:szCs w:val="20"/>
              </w:rPr>
              <w:t xml:space="preserve">, м3/час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</w:rPr>
              <w:t xml:space="preserve">Уровень шума внутреннего блока</w:t>
            </w:r>
            <w:r>
              <w:rPr>
                <w:sz w:val="20"/>
                <w:szCs w:val="20"/>
              </w:rPr>
              <w:t xml:space="preserve">, дБ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Режим </w:t>
            </w:r>
            <w:r>
              <w:rPr>
                <w:sz w:val="20"/>
                <w:szCs w:val="20"/>
                <w:lang w:val="en-US"/>
              </w:rPr>
              <w:t xml:space="preserve">SLEEP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Автоматическая очистка испарителя</w:t>
            </w:r>
            <w:r>
              <w:rPr>
                <w:rFonts w:eastAsia="Times New Roman"/>
                <w:sz w:val="20"/>
                <w:szCs w:val="20"/>
              </w:rPr>
            </w:r>
            <w:r>
              <w:rPr>
                <w:rFonts w:eastAsia="Times New Roman"/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Таймер </w:t>
            </w:r>
            <w:r>
              <w:rPr>
                <w:rFonts w:eastAsia="Times New Roman"/>
                <w:sz w:val="20"/>
                <w:szCs w:val="20"/>
              </w:rPr>
            </w:r>
            <w:r>
              <w:rPr>
                <w:rFonts w:eastAsia="Times New Roman"/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Пульт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длинна магистрали ( трассы)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4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Белый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5</w:t>
            </w:r>
            <w:r>
              <w:rPr>
                <w:sz w:val="20"/>
                <w:szCs w:val="20"/>
                <w:lang w:val="undefined"/>
              </w:rPr>
              <w:t xml:space="preserve">7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  <w:lang w:val="undefined"/>
              </w:rPr>
              <w:t xml:space="preserve">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 7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8"/>
              <w:pBdr/>
              <w:spacing/>
              <w:ind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</w:rPr>
              <w:t xml:space="preserve">Метр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78"/>
              <w:pBdr/>
              <w:spacing/>
              <w:ind/>
              <w:jc w:val="left"/>
              <w:rPr/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Дополнительная информация, не предусмотренная каталогом КТРУ, включена для  сохранения интерьера фасада здания, </w:t>
            </w:r>
            <w:r>
              <w:rPr>
                <w:color w:val="000000"/>
                <w:sz w:val="20"/>
                <w:szCs w:val="20"/>
                <w:shd w:val="clear" w:color="auto" w:fill="auto"/>
              </w:rPr>
              <w:t xml:space="preserve">необходимы в связи с  потребностью Заказчика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8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78"/>
        <w:pBdr/>
        <w:spacing/>
        <w:ind w:right="0" w:firstLine="567"/>
        <w:jc w:val="both"/>
        <w:rPr/>
      </w:pPr>
      <w:r/>
      <w:r/>
    </w:p>
    <w:p>
      <w:pPr>
        <w:pStyle w:val="878"/>
        <w:pBdr/>
        <w:spacing/>
        <w:ind w:right="0" w:firstLine="567"/>
        <w:jc w:val="both"/>
        <w:rPr/>
      </w:pPr>
      <w:r/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h="11906" w:orient="landscape" w:w="16838"/>
      <w:pgMar w:top="500" w:right="1245" w:bottom="639" w:left="720" w:header="709" w:footer="709" w:gutter="0"/>
      <w:pgNumType w:fmt="none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Segoe UI">
    <w:panose1 w:val="020B0502040504020204"/>
  </w:font>
  <w:font w:name="Liberation Sans">
    <w:panose1 w:val="020B0604020202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tabs>
          <w:tab w:val="num" w:leader="none" w:pos="0"/>
        </w:tabs>
        <w:spacing/>
        <w:ind w:firstLine="0" w:left="0"/>
      </w:pPr>
      <w:pStyle w:val="879"/>
      <w:rPr/>
      <w:start w:val="1"/>
      <w:suff w:val="nothing"/>
    </w:lvl>
    <w:lvl w:ilvl="1">
      <w:isLgl w:val="false"/>
      <w:lvlJc w:val="left"/>
      <w:lvlText w:val="%2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%3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%4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%5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%6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%7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%8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%9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">
    <w:lvl w:ilvl="0">
      <w:isLgl w:val="false"/>
      <w:lvlJc w:val="left"/>
      <w:lvlText w:val="%1)"/>
      <w:numFmt w:val="decimal"/>
      <w:pPr>
        <w:pBdr/>
        <w:tabs>
          <w:tab w:val="num" w:leader="none" w:pos="0"/>
        </w:tabs>
        <w:spacing/>
        <w:ind w:hanging="360" w:left="644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88">
    <w:name w:val="toc 1"/>
    <w:basedOn w:val="878"/>
    <w:next w:val="878"/>
    <w:uiPriority w:val="39"/>
    <w:unhideWhenUsed/>
    <w:pPr>
      <w:pBdr/>
      <w:spacing w:after="100"/>
      <w:ind/>
    </w:pPr>
  </w:style>
  <w:style w:type="paragraph" w:styleId="189">
    <w:name w:val="toc 2"/>
    <w:basedOn w:val="878"/>
    <w:next w:val="878"/>
    <w:uiPriority w:val="39"/>
    <w:unhideWhenUsed/>
    <w:pPr>
      <w:pBdr/>
      <w:spacing w:after="100"/>
      <w:ind w:left="220"/>
    </w:pPr>
  </w:style>
  <w:style w:type="paragraph" w:styleId="190">
    <w:name w:val="toc 3"/>
    <w:basedOn w:val="878"/>
    <w:next w:val="878"/>
    <w:uiPriority w:val="39"/>
    <w:unhideWhenUsed/>
    <w:pPr>
      <w:pBdr/>
      <w:spacing w:after="100"/>
      <w:ind w:left="440"/>
    </w:pPr>
  </w:style>
  <w:style w:type="paragraph" w:styleId="191">
    <w:name w:val="toc 4"/>
    <w:basedOn w:val="878"/>
    <w:next w:val="878"/>
    <w:uiPriority w:val="39"/>
    <w:unhideWhenUsed/>
    <w:pPr>
      <w:pBdr/>
      <w:spacing w:after="100"/>
      <w:ind w:left="660"/>
    </w:pPr>
  </w:style>
  <w:style w:type="paragraph" w:styleId="192">
    <w:name w:val="toc 5"/>
    <w:basedOn w:val="878"/>
    <w:next w:val="878"/>
    <w:uiPriority w:val="39"/>
    <w:unhideWhenUsed/>
    <w:pPr>
      <w:pBdr/>
      <w:spacing w:after="100"/>
      <w:ind w:left="880"/>
    </w:pPr>
  </w:style>
  <w:style w:type="paragraph" w:styleId="193">
    <w:name w:val="toc 6"/>
    <w:basedOn w:val="878"/>
    <w:next w:val="878"/>
    <w:uiPriority w:val="39"/>
    <w:unhideWhenUsed/>
    <w:pPr>
      <w:pBdr/>
      <w:spacing w:after="100"/>
      <w:ind w:left="1100"/>
    </w:pPr>
  </w:style>
  <w:style w:type="paragraph" w:styleId="194">
    <w:name w:val="toc 7"/>
    <w:basedOn w:val="878"/>
    <w:next w:val="878"/>
    <w:uiPriority w:val="39"/>
    <w:unhideWhenUsed/>
    <w:pPr>
      <w:pBdr/>
      <w:spacing w:after="100"/>
      <w:ind w:left="1320"/>
    </w:pPr>
  </w:style>
  <w:style w:type="paragraph" w:styleId="195">
    <w:name w:val="toc 8"/>
    <w:basedOn w:val="878"/>
    <w:next w:val="878"/>
    <w:uiPriority w:val="39"/>
    <w:unhideWhenUsed/>
    <w:pPr>
      <w:pBdr/>
      <w:spacing w:after="100"/>
      <w:ind w:left="1540"/>
    </w:pPr>
  </w:style>
  <w:style w:type="paragraph" w:styleId="196">
    <w:name w:val="toc 9"/>
    <w:basedOn w:val="878"/>
    <w:next w:val="878"/>
    <w:uiPriority w:val="39"/>
    <w:unhideWhenUsed/>
    <w:pPr>
      <w:pBdr/>
      <w:spacing w:after="100"/>
      <w:ind w:left="1760"/>
    </w:pPr>
  </w:style>
  <w:style w:type="table" w:styleId="703">
    <w:name w:val="Table Grid"/>
    <w:basedOn w:val="87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 Light"/>
    <w:basedOn w:val="87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1"/>
    <w:basedOn w:val="87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2"/>
    <w:basedOn w:val="87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1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2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3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4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5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6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1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2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3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4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5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6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1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2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3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4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5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6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9">
    <w:name w:val="Heading 2"/>
    <w:basedOn w:val="878"/>
    <w:next w:val="878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78"/>
    <w:next w:val="878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78"/>
    <w:next w:val="878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78"/>
    <w:next w:val="878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78"/>
    <w:next w:val="878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78"/>
    <w:next w:val="878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78"/>
    <w:next w:val="878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78"/>
    <w:next w:val="878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7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78"/>
    <w:next w:val="878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78"/>
    <w:next w:val="878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78"/>
    <w:next w:val="878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54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5">
    <w:name w:val="Intense Quote"/>
    <w:basedOn w:val="878"/>
    <w:next w:val="878"/>
    <w:link w:val="856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6">
    <w:name w:val="Intense Quote Char"/>
    <w:basedOn w:val="837"/>
    <w:link w:val="855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7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8">
    <w:name w:val="No Spacing"/>
    <w:basedOn w:val="878"/>
    <w:uiPriority w:val="1"/>
    <w:qFormat/>
    <w:pPr>
      <w:pBdr/>
      <w:spacing w:after="0" w:line="240" w:lineRule="auto"/>
      <w:ind/>
    </w:pPr>
  </w:style>
  <w:style w:type="character" w:styleId="859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0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1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2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3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4">
    <w:name w:val="Header"/>
    <w:basedOn w:val="878"/>
    <w:link w:val="86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5">
    <w:name w:val="Header Char"/>
    <w:basedOn w:val="837"/>
    <w:link w:val="864"/>
    <w:uiPriority w:val="99"/>
    <w:pPr>
      <w:pBdr/>
      <w:spacing/>
      <w:ind/>
    </w:pPr>
  </w:style>
  <w:style w:type="paragraph" w:styleId="866">
    <w:name w:val="Footer"/>
    <w:basedOn w:val="878"/>
    <w:link w:val="867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7">
    <w:name w:val="Footer Char"/>
    <w:basedOn w:val="837"/>
    <w:link w:val="866"/>
    <w:uiPriority w:val="99"/>
    <w:pPr>
      <w:pBdr/>
      <w:spacing/>
      <w:ind/>
    </w:pPr>
  </w:style>
  <w:style w:type="paragraph" w:styleId="868">
    <w:name w:val="footnote text"/>
    <w:basedOn w:val="878"/>
    <w:link w:val="86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9">
    <w:name w:val="Footnote Text Char"/>
    <w:basedOn w:val="837"/>
    <w:link w:val="868"/>
    <w:uiPriority w:val="99"/>
    <w:semiHidden/>
    <w:pPr>
      <w:pBdr/>
      <w:spacing/>
      <w:ind/>
    </w:pPr>
    <w:rPr>
      <w:sz w:val="20"/>
      <w:szCs w:val="20"/>
    </w:rPr>
  </w:style>
  <w:style w:type="character" w:styleId="870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1">
    <w:name w:val="endnote text"/>
    <w:basedOn w:val="878"/>
    <w:link w:val="87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2">
    <w:name w:val="Endnote Text Char"/>
    <w:basedOn w:val="837"/>
    <w:link w:val="871"/>
    <w:uiPriority w:val="99"/>
    <w:semiHidden/>
    <w:pPr>
      <w:pBdr/>
      <w:spacing/>
      <w:ind/>
    </w:pPr>
    <w:rPr>
      <w:sz w:val="20"/>
      <w:szCs w:val="20"/>
    </w:rPr>
  </w:style>
  <w:style w:type="character" w:styleId="873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4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5">
    <w:name w:val="TOC Heading"/>
    <w:uiPriority w:val="39"/>
    <w:unhideWhenUsed/>
    <w:pPr>
      <w:pBdr/>
      <w:spacing/>
      <w:ind/>
    </w:pPr>
  </w:style>
  <w:style w:type="paragraph" w:styleId="876">
    <w:name w:val="table of figures"/>
    <w:basedOn w:val="878"/>
    <w:next w:val="878"/>
    <w:uiPriority w:val="99"/>
    <w:unhideWhenUsed/>
    <w:pPr>
      <w:pBdr/>
      <w:spacing w:after="0" w:afterAutospacing="0"/>
      <w:ind/>
    </w:pPr>
  </w:style>
  <w:style w:type="table" w:styleId="877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78" w:default="1">
    <w:name w:val="Normal"/>
    <w:next w:val="878"/>
    <w:pPr>
      <w:widowControl w:val="true"/>
      <w:pBdr/>
      <w:bidi w:val="false"/>
      <w:spacing/>
      <w:ind/>
    </w:pPr>
    <w:rPr>
      <w:rFonts w:ascii="Times New Roman" w:hAnsi="Times New Roman" w:eastAsia="Calibri" w:cs="Times New Roman"/>
      <w:color w:val="auto"/>
      <w:sz w:val="24"/>
      <w:szCs w:val="24"/>
      <w:lang w:val="ru-RU" w:eastAsia="zh-CN" w:bidi="ar-SA"/>
    </w:rPr>
  </w:style>
  <w:style w:type="paragraph" w:styleId="879">
    <w:name w:val="Heading 1"/>
    <w:basedOn w:val="878"/>
    <w:next w:val="878"/>
    <w:pPr>
      <w:keepNext w:val="true"/>
      <w:numPr>
        <w:ilvl w:val="0"/>
        <w:numId w:val="1"/>
      </w:numPr>
      <w:pBdr/>
      <w:spacing/>
      <w:ind/>
      <w:outlineLvl w:val="0"/>
    </w:pPr>
    <w:rPr>
      <w:rFonts w:eastAsia="Times New Roman"/>
      <w:b/>
      <w:bCs/>
      <w:sz w:val="28"/>
    </w:rPr>
  </w:style>
  <w:style w:type="character" w:styleId="880">
    <w:name w:val="WW8Num3z0"/>
    <w:next w:val="880"/>
    <w:link w:val="878"/>
    <w:pPr>
      <w:pBdr/>
      <w:spacing/>
      <w:ind/>
    </w:pPr>
  </w:style>
  <w:style w:type="character" w:styleId="881">
    <w:name w:val="WW8Num1z0"/>
    <w:next w:val="881"/>
    <w:link w:val="878"/>
    <w:pPr>
      <w:pBdr/>
      <w:spacing/>
      <w:ind/>
    </w:pPr>
    <w:rPr>
      <w:rFonts w:ascii="Symbol" w:hAnsi="Symbol" w:cs="Symbol"/>
    </w:rPr>
  </w:style>
  <w:style w:type="character" w:styleId="882">
    <w:name w:val="WW8Num2z0"/>
    <w:next w:val="882"/>
    <w:link w:val="878"/>
    <w:pPr>
      <w:pBdr/>
      <w:spacing/>
      <w:ind/>
    </w:pPr>
  </w:style>
  <w:style w:type="character" w:styleId="883">
    <w:name w:val="WW8Num4z0"/>
    <w:next w:val="883"/>
    <w:link w:val="878"/>
    <w:pPr>
      <w:pBdr/>
      <w:spacing/>
      <w:ind/>
    </w:pPr>
  </w:style>
  <w:style w:type="character" w:styleId="884">
    <w:name w:val="WW8Num6z0"/>
    <w:next w:val="884"/>
    <w:link w:val="878"/>
    <w:pPr>
      <w:pBdr/>
      <w:spacing/>
      <w:ind/>
    </w:pPr>
    <w:rPr>
      <w:rFonts w:eastAsia="Times New Roman"/>
      <w:color w:val="000000"/>
    </w:rPr>
  </w:style>
  <w:style w:type="character" w:styleId="885">
    <w:name w:val="WW8Num7z0"/>
    <w:next w:val="885"/>
    <w:link w:val="878"/>
    <w:pPr>
      <w:pBdr/>
      <w:spacing/>
      <w:ind/>
    </w:pPr>
  </w:style>
  <w:style w:type="character" w:styleId="886">
    <w:name w:val="WW8Num8z0"/>
    <w:next w:val="886"/>
    <w:link w:val="878"/>
    <w:pPr>
      <w:pBdr/>
      <w:spacing/>
      <w:ind/>
    </w:pPr>
    <w:rPr>
      <w:rFonts w:ascii="Symbol" w:hAnsi="Symbol" w:cs="Symbol"/>
    </w:rPr>
  </w:style>
  <w:style w:type="character" w:styleId="887">
    <w:name w:val="WW8Num8z1"/>
    <w:next w:val="887"/>
    <w:link w:val="878"/>
    <w:pPr>
      <w:pBdr/>
      <w:spacing/>
      <w:ind/>
    </w:pPr>
    <w:rPr>
      <w:rFonts w:ascii="Courier New" w:hAnsi="Courier New" w:cs="Courier New"/>
    </w:rPr>
  </w:style>
  <w:style w:type="character" w:styleId="888">
    <w:name w:val="WW8Num8z2"/>
    <w:next w:val="888"/>
    <w:link w:val="878"/>
    <w:pPr>
      <w:pBdr/>
      <w:spacing/>
      <w:ind/>
    </w:pPr>
    <w:rPr>
      <w:rFonts w:ascii="Wingdings" w:hAnsi="Wingdings" w:cs="Wingdings"/>
    </w:rPr>
  </w:style>
  <w:style w:type="character" w:styleId="889">
    <w:name w:val="Основной шрифт абзаца"/>
    <w:next w:val="889"/>
    <w:link w:val="878"/>
    <w:pPr>
      <w:pBdr/>
      <w:spacing/>
      <w:ind/>
    </w:pPr>
  </w:style>
  <w:style w:type="character" w:styleId="890">
    <w:name w:val="cardmaininfo__content2"/>
    <w:basedOn w:val="889"/>
    <w:next w:val="890"/>
    <w:link w:val="878"/>
    <w:pPr>
      <w:pBdr/>
      <w:spacing/>
      <w:ind/>
    </w:pPr>
  </w:style>
  <w:style w:type="character" w:styleId="891">
    <w:name w:val="Hyperlink"/>
    <w:next w:val="891"/>
    <w:link w:val="878"/>
    <w:pPr>
      <w:pBdr/>
      <w:spacing/>
      <w:ind/>
    </w:pPr>
    <w:rPr>
      <w:color w:val="000000"/>
      <w:u w:val="none"/>
      <w:shd w:val="clear" w:color="auto" w:fill="auto"/>
    </w:rPr>
  </w:style>
  <w:style w:type="character" w:styleId="892">
    <w:name w:val="Заголовок 1 Знак"/>
    <w:next w:val="892"/>
    <w:pPr>
      <w:pBdr/>
      <w:spacing/>
      <w:ind/>
    </w:pPr>
    <w:rPr>
      <w:rFonts w:ascii="Times New Roman" w:hAnsi="Times New Roman" w:eastAsia="Times New Roman" w:cs="Times New Roman"/>
      <w:b/>
      <w:bCs/>
      <w:sz w:val="28"/>
      <w:szCs w:val="24"/>
    </w:rPr>
  </w:style>
  <w:style w:type="character" w:styleId="893">
    <w:name w:val="Текст выноски Знак"/>
    <w:next w:val="893"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894">
    <w:name w:val="Заголовок"/>
    <w:basedOn w:val="878"/>
    <w:next w:val="895"/>
    <w:pPr>
      <w:keepNext w:val="true"/>
      <w:pBdr/>
      <w:spacing w:after="120" w:before="240"/>
      <w:ind/>
    </w:pPr>
    <w:rPr>
      <w:rFonts w:ascii="Liberation Sans" w:hAnsi="Liberation Sans" w:eastAsia="Tahoma" w:cs="Noto Sans"/>
      <w:sz w:val="28"/>
      <w:szCs w:val="28"/>
    </w:rPr>
  </w:style>
  <w:style w:type="paragraph" w:styleId="895">
    <w:name w:val="Body Text"/>
    <w:basedOn w:val="878"/>
    <w:next w:val="895"/>
    <w:pPr>
      <w:pBdr/>
      <w:spacing w:after="140" w:before="0" w:line="276" w:lineRule="auto"/>
      <w:ind/>
    </w:pPr>
  </w:style>
  <w:style w:type="paragraph" w:styleId="896">
    <w:name w:val="List"/>
    <w:basedOn w:val="895"/>
    <w:next w:val="896"/>
    <w:link w:val="878"/>
    <w:pPr>
      <w:pBdr/>
      <w:spacing/>
      <w:ind/>
    </w:pPr>
    <w:rPr>
      <w:rFonts w:cs="Noto Sans"/>
    </w:rPr>
  </w:style>
  <w:style w:type="paragraph" w:styleId="897">
    <w:name w:val="Caption"/>
    <w:basedOn w:val="878"/>
    <w:next w:val="897"/>
    <w:link w:val="878"/>
    <w:pPr>
      <w:suppressLineNumbers w:val="true"/>
      <w:pBdr/>
      <w:spacing w:after="120" w:before="120"/>
      <w:ind/>
    </w:pPr>
    <w:rPr>
      <w:rFonts w:cs="Noto Sans"/>
      <w:i/>
      <w:iCs/>
      <w:sz w:val="24"/>
      <w:szCs w:val="24"/>
    </w:rPr>
  </w:style>
  <w:style w:type="paragraph" w:styleId="898">
    <w:name w:val="Указатель"/>
    <w:basedOn w:val="878"/>
    <w:next w:val="898"/>
    <w:pPr>
      <w:suppressLineNumbers w:val="true"/>
      <w:pBdr/>
      <w:spacing/>
      <w:ind/>
    </w:pPr>
    <w:rPr>
      <w:rFonts w:cs="Noto Sans"/>
    </w:rPr>
  </w:style>
  <w:style w:type="paragraph" w:styleId="899">
    <w:name w:val="caption1"/>
    <w:basedOn w:val="878"/>
    <w:next w:val="899"/>
    <w:link w:val="878"/>
    <w:pPr>
      <w:suppressLineNumbers w:val="true"/>
      <w:pBdr/>
      <w:spacing w:after="120" w:before="120"/>
      <w:ind/>
    </w:pPr>
    <w:rPr>
      <w:rFonts w:cs="Noto Sans"/>
      <w:i/>
      <w:iCs/>
      <w:sz w:val="24"/>
      <w:szCs w:val="24"/>
    </w:rPr>
  </w:style>
  <w:style w:type="paragraph" w:styleId="900">
    <w:name w:val="caption11"/>
    <w:basedOn w:val="878"/>
    <w:next w:val="900"/>
    <w:pPr>
      <w:suppressLineNumbers w:val="true"/>
      <w:pBdr/>
      <w:spacing w:after="120" w:before="120"/>
      <w:ind/>
    </w:pPr>
    <w:rPr>
      <w:rFonts w:cs="Noto Sans"/>
      <w:i/>
      <w:iCs/>
      <w:sz w:val="24"/>
      <w:szCs w:val="24"/>
    </w:rPr>
  </w:style>
  <w:style w:type="paragraph" w:styleId="901">
    <w:name w:val="caption111"/>
    <w:basedOn w:val="878"/>
    <w:next w:val="901"/>
    <w:pPr>
      <w:suppressLineNumbers w:val="true"/>
      <w:pBdr/>
      <w:spacing w:after="120" w:before="120"/>
      <w:ind/>
    </w:pPr>
    <w:rPr>
      <w:rFonts w:cs="Noto Sans"/>
      <w:i/>
      <w:iCs/>
      <w:sz w:val="24"/>
      <w:szCs w:val="24"/>
    </w:rPr>
  </w:style>
  <w:style w:type="paragraph" w:styleId="902">
    <w:name w:val="caption1111"/>
    <w:basedOn w:val="878"/>
    <w:next w:val="902"/>
    <w:pPr>
      <w:suppressLineNumbers w:val="true"/>
      <w:pBdr/>
      <w:spacing w:after="120" w:before="120"/>
      <w:ind/>
    </w:pPr>
    <w:rPr>
      <w:rFonts w:cs="Noto Sans"/>
      <w:i/>
      <w:iCs/>
      <w:sz w:val="24"/>
      <w:szCs w:val="24"/>
    </w:rPr>
  </w:style>
  <w:style w:type="paragraph" w:styleId="903">
    <w:name w:val="Абзац списка"/>
    <w:basedOn w:val="878"/>
    <w:next w:val="903"/>
    <w:pPr>
      <w:pBdr/>
      <w:spacing/>
      <w:ind w:right="0" w:firstLine="0" w:left="720"/>
    </w:pPr>
  </w:style>
  <w:style w:type="paragraph" w:styleId="904">
    <w:name w:val="Текст выноски"/>
    <w:basedOn w:val="878"/>
    <w:next w:val="904"/>
    <w:link w:val="878"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905">
    <w:name w:val="Содержимое врезки"/>
    <w:basedOn w:val="878"/>
    <w:next w:val="905"/>
    <w:pPr>
      <w:pBdr/>
      <w:spacing/>
      <w:ind/>
    </w:pPr>
  </w:style>
  <w:style w:type="paragraph" w:styleId="906">
    <w:name w:val="Содержимое таблицы"/>
    <w:basedOn w:val="878"/>
    <w:next w:val="906"/>
    <w:link w:val="878"/>
    <w:pPr>
      <w:widowControl w:val="false"/>
      <w:suppressLineNumbers w:val="true"/>
      <w:pBdr/>
      <w:spacing/>
      <w:ind/>
    </w:pPr>
  </w:style>
  <w:style w:type="paragraph" w:styleId="907">
    <w:name w:val="Заголовок таблицы"/>
    <w:basedOn w:val="906"/>
    <w:next w:val="907"/>
    <w:link w:val="878"/>
    <w:pPr>
      <w:suppressLineNumbers w:val="true"/>
      <w:pBdr/>
      <w:spacing/>
      <w:ind/>
      <w:jc w:val="center"/>
    </w:pPr>
    <w:rPr>
      <w:b/>
      <w:bCs/>
    </w:rPr>
  </w:style>
  <w:style w:type="paragraph" w:styleId="908">
    <w:name w:val="Основной текст1"/>
    <w:next w:val="908"/>
    <w:link w:val="878"/>
    <w:pPr>
      <w:widowControl w:val="true"/>
      <w:pBdr/>
      <w:bidi w:val="false"/>
      <w:spacing w:after="140" w:before="0" w:line="276" w:lineRule="auto"/>
      <w:ind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styleId="909">
    <w:name w:val="List Paragraph"/>
    <w:basedOn w:val="878"/>
    <w:next w:val="909"/>
    <w:pPr>
      <w:pBdr/>
      <w:spacing w:after="200" w:before="0"/>
      <w:ind w:right="0" w:firstLine="0" w:left="720"/>
      <w:contextualSpacing w:val="true"/>
    </w:pPr>
    <w:rPr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ONLYOFFICE/8.3.3.21</Application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46</cp:revision>
  <dcterms:created xsi:type="dcterms:W3CDTF">2023-06-20T08:13:00Z</dcterms:created>
  <dcterms:modified xsi:type="dcterms:W3CDTF">2025-04-30T08:25:57Z</dcterms:modified>
</cp:coreProperties>
</file>