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A39" w:rsidRDefault="00F95A39">
      <w:pPr>
        <w:jc w:val="right"/>
        <w:rPr>
          <w:b w:val="0"/>
          <w:sz w:val="24"/>
          <w:szCs w:val="24"/>
        </w:rPr>
      </w:pPr>
    </w:p>
    <w:p w:rsidR="00F95A39" w:rsidRDefault="00F95A39">
      <w:pPr>
        <w:jc w:val="center"/>
        <w:rPr>
          <w:sz w:val="24"/>
          <w:szCs w:val="24"/>
        </w:rPr>
      </w:pPr>
    </w:p>
    <w:p w:rsidR="00F95A39" w:rsidRDefault="00F95A39">
      <w:pPr>
        <w:jc w:val="center"/>
        <w:rPr>
          <w:sz w:val="24"/>
          <w:szCs w:val="24"/>
        </w:rPr>
      </w:pPr>
    </w:p>
    <w:p w:rsidR="00F95A39" w:rsidRDefault="004A705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Обоснование ОПРЕДЕЛЕНИЯ </w:t>
      </w:r>
      <w:r w:rsidR="00E27CF6">
        <w:rPr>
          <w:sz w:val="24"/>
          <w:szCs w:val="24"/>
        </w:rPr>
        <w:t xml:space="preserve">НАЧАЛЬНОЙ </w:t>
      </w:r>
      <w:r>
        <w:rPr>
          <w:sz w:val="24"/>
          <w:szCs w:val="24"/>
        </w:rPr>
        <w:t>максимальной цены Контракта (цены лота)</w:t>
      </w:r>
    </w:p>
    <w:p w:rsidR="00F95A39" w:rsidRDefault="00F95A39">
      <w:pPr>
        <w:tabs>
          <w:tab w:val="left" w:pos="993"/>
        </w:tabs>
        <w:jc w:val="both"/>
        <w:rPr>
          <w:rFonts w:eastAsia="Times New Roman"/>
          <w:b w:val="0"/>
          <w:bCs w:val="0"/>
          <w:caps w:val="0"/>
          <w:sz w:val="24"/>
          <w:szCs w:val="24"/>
        </w:rPr>
      </w:pPr>
    </w:p>
    <w:p w:rsidR="00F95A39" w:rsidRDefault="004A7051" w:rsidP="001E40FC">
      <w:pPr>
        <w:pStyle w:val="af8"/>
        <w:numPr>
          <w:ilvl w:val="0"/>
          <w:numId w:val="1"/>
        </w:numPr>
        <w:tabs>
          <w:tab w:val="left" w:pos="284"/>
          <w:tab w:val="left" w:pos="851"/>
        </w:tabs>
        <w:spacing w:before="120" w:after="120"/>
        <w:jc w:val="both"/>
        <w:rPr>
          <w:rFonts w:eastAsia="Times New Roman"/>
          <w:b w:val="0"/>
          <w:bCs w:val="0"/>
          <w:caps w:val="0"/>
          <w:sz w:val="24"/>
          <w:szCs w:val="24"/>
        </w:rPr>
      </w:pPr>
      <w:r>
        <w:rPr>
          <w:rFonts w:eastAsia="Times New Roman"/>
          <w:b w:val="0"/>
          <w:bCs w:val="0"/>
          <w:caps w:val="0"/>
          <w:sz w:val="24"/>
          <w:szCs w:val="24"/>
        </w:rPr>
        <w:t>Объект закупки:</w:t>
      </w:r>
      <w:r>
        <w:rPr>
          <w:color w:val="000000" w:themeColor="text1"/>
        </w:rPr>
        <w:t xml:space="preserve"> </w:t>
      </w:r>
      <w:r w:rsidR="00E27CF6" w:rsidRPr="00E27CF6">
        <w:rPr>
          <w:rFonts w:eastAsia="Times New Roman"/>
          <w:b w:val="0"/>
          <w:bCs w:val="0"/>
          <w:caps w:val="0"/>
          <w:sz w:val="24"/>
          <w:szCs w:val="24"/>
        </w:rPr>
        <w:t xml:space="preserve">Поставка </w:t>
      </w:r>
      <w:r w:rsidR="001E40FC" w:rsidRPr="001E40FC">
        <w:rPr>
          <w:rFonts w:eastAsia="Times New Roman"/>
          <w:b w:val="0"/>
          <w:bCs w:val="0"/>
          <w:caps w:val="0"/>
          <w:sz w:val="24"/>
          <w:szCs w:val="24"/>
        </w:rPr>
        <w:t xml:space="preserve">офисной мебели для нужд филиала ППК «Роскадастр» </w:t>
      </w:r>
      <w:r w:rsidR="001E40FC">
        <w:rPr>
          <w:rFonts w:eastAsia="Times New Roman"/>
          <w:b w:val="0"/>
          <w:bCs w:val="0"/>
          <w:caps w:val="0"/>
          <w:sz w:val="24"/>
          <w:szCs w:val="24"/>
        </w:rPr>
        <w:br/>
      </w:r>
      <w:r w:rsidR="001E40FC" w:rsidRPr="001E40FC">
        <w:rPr>
          <w:rFonts w:eastAsia="Times New Roman"/>
          <w:b w:val="0"/>
          <w:bCs w:val="0"/>
          <w:caps w:val="0"/>
          <w:sz w:val="24"/>
          <w:szCs w:val="24"/>
        </w:rPr>
        <w:t>ЦИТ «Роскадастр-Инфотех»</w:t>
      </w:r>
      <w:r w:rsidR="00E27CF6">
        <w:rPr>
          <w:rFonts w:eastAsia="Times New Roman"/>
          <w:b w:val="0"/>
          <w:bCs w:val="0"/>
          <w:caps w:val="0"/>
          <w:sz w:val="24"/>
          <w:szCs w:val="24"/>
        </w:rPr>
        <w:t>.</w:t>
      </w:r>
    </w:p>
    <w:p w:rsidR="00E27CF6" w:rsidRPr="00E27CF6" w:rsidRDefault="00E27CF6" w:rsidP="00E27CF6">
      <w:pPr>
        <w:pStyle w:val="af8"/>
        <w:tabs>
          <w:tab w:val="left" w:pos="284"/>
          <w:tab w:val="left" w:pos="851"/>
        </w:tabs>
        <w:spacing w:before="120" w:after="120"/>
        <w:jc w:val="both"/>
        <w:rPr>
          <w:rFonts w:eastAsiaTheme="minorHAnsi"/>
          <w:b w:val="0"/>
          <w:bCs w:val="0"/>
          <w:caps w:val="0"/>
          <w:sz w:val="24"/>
          <w:szCs w:val="24"/>
          <w:lang w:eastAsia="en-US"/>
        </w:rPr>
      </w:pPr>
    </w:p>
    <w:p w:rsidR="00F95A39" w:rsidRPr="00E27CF6" w:rsidRDefault="004A7051" w:rsidP="00E27CF6">
      <w:pPr>
        <w:pStyle w:val="af8"/>
        <w:numPr>
          <w:ilvl w:val="0"/>
          <w:numId w:val="1"/>
        </w:numPr>
        <w:tabs>
          <w:tab w:val="left" w:pos="284"/>
          <w:tab w:val="left" w:pos="851"/>
        </w:tabs>
        <w:spacing w:before="120" w:after="120"/>
        <w:jc w:val="both"/>
        <w:rPr>
          <w:rFonts w:eastAsiaTheme="minorHAnsi"/>
          <w:b w:val="0"/>
          <w:bCs w:val="0"/>
          <w:caps w:val="0"/>
          <w:sz w:val="24"/>
          <w:szCs w:val="24"/>
          <w:lang w:eastAsia="en-US"/>
        </w:rPr>
      </w:pPr>
      <w:r>
        <w:rPr>
          <w:rFonts w:eastAsia="Times New Roman"/>
          <w:b w:val="0"/>
          <w:bCs w:val="0"/>
          <w:caps w:val="0"/>
          <w:sz w:val="24"/>
          <w:szCs w:val="24"/>
        </w:rPr>
        <w:t xml:space="preserve">Выбранный метод определения максимальной цены контракта: </w:t>
      </w:r>
      <w:r>
        <w:rPr>
          <w:rFonts w:eastAsiaTheme="minorHAnsi"/>
          <w:b w:val="0"/>
          <w:bCs w:val="0"/>
          <w:caps w:val="0"/>
          <w:sz w:val="24"/>
          <w:szCs w:val="24"/>
          <w:lang w:eastAsia="en-US"/>
        </w:rPr>
        <w:t>метод сопоставимых рыночных цен (анализа рынка).</w:t>
      </w:r>
    </w:p>
    <w:p w:rsidR="00E27CF6" w:rsidRDefault="00E27CF6" w:rsidP="00E27CF6">
      <w:pPr>
        <w:pStyle w:val="af8"/>
        <w:tabs>
          <w:tab w:val="left" w:pos="284"/>
          <w:tab w:val="left" w:pos="851"/>
        </w:tabs>
        <w:spacing w:before="120" w:after="120"/>
        <w:jc w:val="both"/>
        <w:rPr>
          <w:rFonts w:eastAsia="Times New Roman"/>
          <w:b w:val="0"/>
          <w:bCs w:val="0"/>
          <w:caps w:val="0"/>
          <w:sz w:val="24"/>
          <w:szCs w:val="24"/>
        </w:rPr>
      </w:pPr>
    </w:p>
    <w:p w:rsidR="00F95A39" w:rsidRDefault="004A7051" w:rsidP="00E27CF6">
      <w:pPr>
        <w:pStyle w:val="af8"/>
        <w:numPr>
          <w:ilvl w:val="0"/>
          <w:numId w:val="1"/>
        </w:numPr>
        <w:tabs>
          <w:tab w:val="left" w:pos="284"/>
          <w:tab w:val="left" w:pos="851"/>
        </w:tabs>
        <w:spacing w:before="120" w:after="120"/>
        <w:jc w:val="both"/>
        <w:rPr>
          <w:rFonts w:eastAsia="Times New Roman"/>
          <w:b w:val="0"/>
          <w:bCs w:val="0"/>
          <w:caps w:val="0"/>
          <w:sz w:val="24"/>
          <w:szCs w:val="24"/>
        </w:rPr>
      </w:pPr>
      <w:r>
        <w:rPr>
          <w:rFonts w:eastAsia="Times New Roman"/>
          <w:b w:val="0"/>
          <w:bCs w:val="0"/>
          <w:caps w:val="0"/>
          <w:sz w:val="24"/>
          <w:szCs w:val="24"/>
        </w:rPr>
        <w:t>Выполненные действия в части сбора информации: размещение запроса ценовой информации в ЕИС, цено</w:t>
      </w:r>
      <w:r w:rsidR="00E27CF6">
        <w:rPr>
          <w:rFonts w:eastAsia="Times New Roman"/>
          <w:b w:val="0"/>
          <w:bCs w:val="0"/>
          <w:caps w:val="0"/>
          <w:sz w:val="24"/>
          <w:szCs w:val="24"/>
        </w:rPr>
        <w:t>вые предложения в сети Интернет.</w:t>
      </w:r>
    </w:p>
    <w:p w:rsidR="00E27CF6" w:rsidRDefault="00E27CF6" w:rsidP="00E27CF6">
      <w:pPr>
        <w:pStyle w:val="af8"/>
        <w:tabs>
          <w:tab w:val="left" w:pos="284"/>
          <w:tab w:val="left" w:pos="851"/>
        </w:tabs>
        <w:spacing w:before="120" w:after="120"/>
        <w:jc w:val="both"/>
        <w:rPr>
          <w:rFonts w:eastAsia="Times New Roman"/>
          <w:b w:val="0"/>
          <w:bCs w:val="0"/>
          <w:caps w:val="0"/>
          <w:sz w:val="24"/>
          <w:szCs w:val="24"/>
        </w:rPr>
      </w:pPr>
    </w:p>
    <w:p w:rsidR="00F95A39" w:rsidRDefault="00A97736" w:rsidP="001E40FC">
      <w:pPr>
        <w:pStyle w:val="af8"/>
        <w:numPr>
          <w:ilvl w:val="0"/>
          <w:numId w:val="1"/>
        </w:numPr>
        <w:tabs>
          <w:tab w:val="left" w:pos="284"/>
          <w:tab w:val="left" w:pos="851"/>
        </w:tabs>
        <w:spacing w:before="120" w:after="120"/>
        <w:jc w:val="both"/>
        <w:rPr>
          <w:rFonts w:eastAsia="Times New Roman"/>
          <w:b w:val="0"/>
          <w:bCs w:val="0"/>
          <w:caps w:val="0"/>
          <w:sz w:val="24"/>
          <w:szCs w:val="24"/>
        </w:rPr>
      </w:pPr>
      <w:r>
        <w:rPr>
          <w:rFonts w:eastAsia="Times New Roman"/>
          <w:b w:val="0"/>
          <w:bCs w:val="0"/>
          <w:caps w:val="0"/>
          <w:sz w:val="24"/>
          <w:szCs w:val="24"/>
        </w:rPr>
        <w:t>Начальное максимальное</w:t>
      </w:r>
      <w:r w:rsidR="004A7051">
        <w:rPr>
          <w:rFonts w:eastAsia="Times New Roman"/>
          <w:b w:val="0"/>
          <w:bCs w:val="0"/>
          <w:caps w:val="0"/>
          <w:sz w:val="24"/>
          <w:szCs w:val="24"/>
        </w:rPr>
        <w:t xml:space="preserve"> значение цены Контракта (ЦКmax) составляет </w:t>
      </w:r>
      <w:r w:rsidR="001E40FC" w:rsidRPr="001E40FC">
        <w:rPr>
          <w:rFonts w:eastAsia="Times New Roman"/>
          <w:b w:val="0"/>
          <w:bCs w:val="0"/>
          <w:caps w:val="0"/>
          <w:sz w:val="24"/>
          <w:szCs w:val="24"/>
        </w:rPr>
        <w:t>3</w:t>
      </w:r>
      <w:r w:rsidR="00231617">
        <w:rPr>
          <w:rFonts w:eastAsia="Times New Roman"/>
          <w:b w:val="0"/>
          <w:bCs w:val="0"/>
          <w:caps w:val="0"/>
          <w:sz w:val="24"/>
          <w:szCs w:val="24"/>
        </w:rPr>
        <w:t> 271 765</w:t>
      </w:r>
      <w:r w:rsidR="001E40FC" w:rsidRPr="001E40FC">
        <w:rPr>
          <w:rFonts w:eastAsia="Times New Roman"/>
          <w:b w:val="0"/>
          <w:bCs w:val="0"/>
          <w:caps w:val="0"/>
          <w:sz w:val="24"/>
          <w:szCs w:val="24"/>
        </w:rPr>
        <w:t xml:space="preserve"> (три миллиона </w:t>
      </w:r>
      <w:r w:rsidR="00231617">
        <w:rPr>
          <w:rFonts w:eastAsia="Times New Roman"/>
          <w:b w:val="0"/>
          <w:bCs w:val="0"/>
          <w:caps w:val="0"/>
          <w:sz w:val="24"/>
          <w:szCs w:val="24"/>
        </w:rPr>
        <w:t>двести семьдесят одна тысяча семьсот шестьдесят пять) рублей 00</w:t>
      </w:r>
      <w:r w:rsidR="001E40FC" w:rsidRPr="001E40FC">
        <w:rPr>
          <w:rFonts w:eastAsia="Times New Roman"/>
          <w:b w:val="0"/>
          <w:bCs w:val="0"/>
          <w:caps w:val="0"/>
          <w:sz w:val="24"/>
          <w:szCs w:val="24"/>
        </w:rPr>
        <w:t xml:space="preserve"> коп</w:t>
      </w:r>
      <w:bookmarkStart w:id="0" w:name="_GoBack"/>
      <w:bookmarkEnd w:id="0"/>
      <w:r w:rsidR="001E40FC" w:rsidRPr="001E40FC">
        <w:rPr>
          <w:rFonts w:eastAsia="Times New Roman"/>
          <w:b w:val="0"/>
          <w:bCs w:val="0"/>
          <w:caps w:val="0"/>
          <w:sz w:val="24"/>
          <w:szCs w:val="24"/>
        </w:rPr>
        <w:t>еек</w:t>
      </w:r>
      <w:r w:rsidR="004A7051">
        <w:rPr>
          <w:rFonts w:eastAsia="Times New Roman"/>
          <w:b w:val="0"/>
          <w:bCs w:val="0"/>
          <w:caps w:val="0"/>
          <w:sz w:val="24"/>
          <w:szCs w:val="24"/>
        </w:rPr>
        <w:t>, в т.ч. НДС</w:t>
      </w:r>
      <w:r w:rsidR="001E40FC">
        <w:rPr>
          <w:rFonts w:eastAsia="Times New Roman"/>
          <w:b w:val="0"/>
          <w:bCs w:val="0"/>
          <w:caps w:val="0"/>
          <w:sz w:val="24"/>
          <w:szCs w:val="24"/>
        </w:rPr>
        <w:t>.</w:t>
      </w:r>
    </w:p>
    <w:p w:rsidR="00E27CF6" w:rsidRDefault="00E27CF6" w:rsidP="00E27CF6">
      <w:pPr>
        <w:pStyle w:val="af8"/>
        <w:tabs>
          <w:tab w:val="left" w:pos="284"/>
          <w:tab w:val="left" w:pos="851"/>
        </w:tabs>
        <w:spacing w:before="120" w:after="120"/>
        <w:jc w:val="both"/>
        <w:rPr>
          <w:rFonts w:eastAsia="Times New Roman"/>
          <w:b w:val="0"/>
          <w:bCs w:val="0"/>
          <w:caps w:val="0"/>
          <w:sz w:val="24"/>
          <w:szCs w:val="24"/>
        </w:rPr>
      </w:pPr>
    </w:p>
    <w:p w:rsidR="00F95A39" w:rsidRPr="00E27CF6" w:rsidRDefault="004A7051" w:rsidP="00E27CF6">
      <w:pPr>
        <w:pStyle w:val="af8"/>
        <w:numPr>
          <w:ilvl w:val="0"/>
          <w:numId w:val="1"/>
        </w:numPr>
        <w:tabs>
          <w:tab w:val="left" w:pos="9720"/>
          <w:tab w:val="left" w:pos="9846"/>
        </w:tabs>
        <w:spacing w:before="120" w:after="120"/>
        <w:jc w:val="both"/>
        <w:rPr>
          <w:rFonts w:eastAsia="Times New Roman"/>
          <w:b w:val="0"/>
          <w:bCs w:val="0"/>
          <w:caps w:val="0"/>
          <w:sz w:val="24"/>
          <w:szCs w:val="24"/>
        </w:rPr>
      </w:pPr>
      <w:r w:rsidRPr="00E27CF6">
        <w:rPr>
          <w:rFonts w:eastAsia="Times New Roman"/>
          <w:b w:val="0"/>
          <w:bCs w:val="0"/>
          <w:caps w:val="0"/>
          <w:sz w:val="24"/>
          <w:szCs w:val="24"/>
        </w:rPr>
        <w:t xml:space="preserve">Цена Контракта включает в себя все расходы </w:t>
      </w:r>
      <w:r w:rsidR="00A97736">
        <w:rPr>
          <w:rFonts w:eastAsia="Times New Roman"/>
          <w:b w:val="0"/>
          <w:bCs w:val="0"/>
          <w:caps w:val="0"/>
          <w:sz w:val="24"/>
          <w:szCs w:val="24"/>
        </w:rPr>
        <w:t>Поставщика</w:t>
      </w:r>
      <w:r w:rsidRPr="00E27CF6">
        <w:rPr>
          <w:rFonts w:eastAsia="Times New Roman"/>
          <w:b w:val="0"/>
          <w:bCs w:val="0"/>
          <w:caps w:val="0"/>
          <w:sz w:val="24"/>
          <w:szCs w:val="24"/>
        </w:rPr>
        <w:t xml:space="preserve">, связанные с </w:t>
      </w:r>
      <w:r w:rsidR="00A97736">
        <w:rPr>
          <w:rFonts w:eastAsia="Times New Roman"/>
          <w:b w:val="0"/>
          <w:bCs w:val="0"/>
          <w:caps w:val="0"/>
          <w:sz w:val="24"/>
          <w:szCs w:val="24"/>
        </w:rPr>
        <w:t>поставкой Товара</w:t>
      </w:r>
      <w:r w:rsidRPr="00E27CF6">
        <w:rPr>
          <w:rFonts w:eastAsia="Times New Roman"/>
          <w:b w:val="0"/>
          <w:bCs w:val="0"/>
          <w:caps w:val="0"/>
          <w:sz w:val="24"/>
          <w:szCs w:val="24"/>
        </w:rPr>
        <w:t xml:space="preserve">, иные затраты, издержки и расходы </w:t>
      </w:r>
      <w:r w:rsidR="00A97736">
        <w:rPr>
          <w:rFonts w:eastAsia="Times New Roman"/>
          <w:b w:val="0"/>
          <w:bCs w:val="0"/>
          <w:caps w:val="0"/>
          <w:sz w:val="24"/>
          <w:szCs w:val="24"/>
        </w:rPr>
        <w:t>Поставщика</w:t>
      </w:r>
      <w:r w:rsidRPr="00E27CF6">
        <w:rPr>
          <w:rFonts w:eastAsia="Times New Roman"/>
          <w:b w:val="0"/>
          <w:bCs w:val="0"/>
          <w:caps w:val="0"/>
          <w:sz w:val="24"/>
          <w:szCs w:val="24"/>
        </w:rPr>
        <w:t>, в том числе сопутствующие, связанные с исполнением Контракта, а также сборы, налоги и другие обязательные платежи, подлежащие выплате в том числе НДС.</w:t>
      </w:r>
    </w:p>
    <w:p w:rsidR="00F95A39" w:rsidRDefault="00F95A39">
      <w:pPr>
        <w:ind w:left="720" w:hanging="360"/>
        <w:jc w:val="both"/>
        <w:rPr>
          <w:rFonts w:eastAsia="Times New Roman"/>
          <w:b w:val="0"/>
          <w:bCs w:val="0"/>
          <w:caps w:val="0"/>
          <w:sz w:val="24"/>
          <w:szCs w:val="24"/>
        </w:rPr>
      </w:pPr>
    </w:p>
    <w:p w:rsidR="00F95A39" w:rsidRDefault="00F95A39">
      <w:pPr>
        <w:ind w:left="720" w:hanging="360"/>
        <w:jc w:val="both"/>
        <w:rPr>
          <w:rFonts w:eastAsia="Times New Roman"/>
          <w:b w:val="0"/>
          <w:bCs w:val="0"/>
          <w:caps w:val="0"/>
          <w:sz w:val="24"/>
          <w:szCs w:val="24"/>
        </w:rPr>
      </w:pPr>
    </w:p>
    <w:sectPr w:rsidR="00F95A39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5A39" w:rsidRDefault="004A7051">
      <w:r>
        <w:separator/>
      </w:r>
    </w:p>
  </w:endnote>
  <w:endnote w:type="continuationSeparator" w:id="0">
    <w:p w:rsidR="00F95A39" w:rsidRDefault="004A7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5A39" w:rsidRDefault="004A7051">
      <w:r>
        <w:separator/>
      </w:r>
    </w:p>
  </w:footnote>
  <w:footnote w:type="continuationSeparator" w:id="0">
    <w:p w:rsidR="00F95A39" w:rsidRDefault="004A70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47B31"/>
    <w:multiLevelType w:val="hybridMultilevel"/>
    <w:tmpl w:val="D62C03FC"/>
    <w:lvl w:ilvl="0" w:tplc="59F8E44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/>
      </w:rPr>
    </w:lvl>
    <w:lvl w:ilvl="1" w:tplc="8E421600">
      <w:start w:val="1"/>
      <w:numFmt w:val="lowerLetter"/>
      <w:lvlText w:val="%2."/>
      <w:lvlJc w:val="left"/>
      <w:pPr>
        <w:ind w:left="2385" w:hanging="360"/>
      </w:pPr>
    </w:lvl>
    <w:lvl w:ilvl="2" w:tplc="63227CAE">
      <w:start w:val="1"/>
      <w:numFmt w:val="lowerRoman"/>
      <w:lvlText w:val="%3."/>
      <w:lvlJc w:val="right"/>
      <w:pPr>
        <w:ind w:left="3105" w:hanging="180"/>
      </w:pPr>
    </w:lvl>
    <w:lvl w:ilvl="3" w:tplc="A24E1284">
      <w:start w:val="1"/>
      <w:numFmt w:val="decimal"/>
      <w:lvlText w:val="%4."/>
      <w:lvlJc w:val="left"/>
      <w:pPr>
        <w:ind w:left="3825" w:hanging="360"/>
      </w:pPr>
    </w:lvl>
    <w:lvl w:ilvl="4" w:tplc="D1821D30">
      <w:start w:val="1"/>
      <w:numFmt w:val="lowerLetter"/>
      <w:lvlText w:val="%5."/>
      <w:lvlJc w:val="left"/>
      <w:pPr>
        <w:ind w:left="4545" w:hanging="360"/>
      </w:pPr>
    </w:lvl>
    <w:lvl w:ilvl="5" w:tplc="1CBCC0C6">
      <w:start w:val="1"/>
      <w:numFmt w:val="lowerRoman"/>
      <w:lvlText w:val="%6."/>
      <w:lvlJc w:val="right"/>
      <w:pPr>
        <w:ind w:left="5265" w:hanging="180"/>
      </w:pPr>
    </w:lvl>
    <w:lvl w:ilvl="6" w:tplc="E700882A">
      <w:start w:val="1"/>
      <w:numFmt w:val="decimal"/>
      <w:lvlText w:val="%7."/>
      <w:lvlJc w:val="left"/>
      <w:pPr>
        <w:ind w:left="5985" w:hanging="360"/>
      </w:pPr>
    </w:lvl>
    <w:lvl w:ilvl="7" w:tplc="4F980EEA">
      <w:start w:val="1"/>
      <w:numFmt w:val="lowerLetter"/>
      <w:lvlText w:val="%8."/>
      <w:lvlJc w:val="left"/>
      <w:pPr>
        <w:ind w:left="6705" w:hanging="360"/>
      </w:pPr>
    </w:lvl>
    <w:lvl w:ilvl="8" w:tplc="9F18EA34">
      <w:start w:val="1"/>
      <w:numFmt w:val="lowerRoman"/>
      <w:lvlText w:val="%9."/>
      <w:lvlJc w:val="right"/>
      <w:pPr>
        <w:ind w:left="7425" w:hanging="180"/>
      </w:pPr>
    </w:lvl>
  </w:abstractNum>
  <w:abstractNum w:abstractNumId="1" w15:restartNumberingAfterBreak="0">
    <w:nsid w:val="42E76274"/>
    <w:multiLevelType w:val="hybridMultilevel"/>
    <w:tmpl w:val="80188E28"/>
    <w:lvl w:ilvl="0" w:tplc="0DFE222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2236EDAA">
      <w:start w:val="1"/>
      <w:numFmt w:val="lowerLetter"/>
      <w:lvlText w:val="%2."/>
      <w:lvlJc w:val="left"/>
      <w:pPr>
        <w:ind w:left="1440" w:hanging="360"/>
      </w:pPr>
    </w:lvl>
    <w:lvl w:ilvl="2" w:tplc="3168DFD4">
      <w:start w:val="1"/>
      <w:numFmt w:val="lowerRoman"/>
      <w:lvlText w:val="%3."/>
      <w:lvlJc w:val="right"/>
      <w:pPr>
        <w:ind w:left="2160" w:hanging="180"/>
      </w:pPr>
    </w:lvl>
    <w:lvl w:ilvl="3" w:tplc="8DD0C9FC">
      <w:start w:val="1"/>
      <w:numFmt w:val="decimal"/>
      <w:lvlText w:val="%4."/>
      <w:lvlJc w:val="left"/>
      <w:pPr>
        <w:ind w:left="2880" w:hanging="360"/>
      </w:pPr>
    </w:lvl>
    <w:lvl w:ilvl="4" w:tplc="46EA0C12">
      <w:start w:val="1"/>
      <w:numFmt w:val="lowerLetter"/>
      <w:lvlText w:val="%5."/>
      <w:lvlJc w:val="left"/>
      <w:pPr>
        <w:ind w:left="3600" w:hanging="360"/>
      </w:pPr>
    </w:lvl>
    <w:lvl w:ilvl="5" w:tplc="5D90F32C">
      <w:start w:val="1"/>
      <w:numFmt w:val="lowerRoman"/>
      <w:lvlText w:val="%6."/>
      <w:lvlJc w:val="right"/>
      <w:pPr>
        <w:ind w:left="4320" w:hanging="180"/>
      </w:pPr>
    </w:lvl>
    <w:lvl w:ilvl="6" w:tplc="8126F754">
      <w:start w:val="1"/>
      <w:numFmt w:val="decimal"/>
      <w:lvlText w:val="%7."/>
      <w:lvlJc w:val="left"/>
      <w:pPr>
        <w:ind w:left="5040" w:hanging="360"/>
      </w:pPr>
    </w:lvl>
    <w:lvl w:ilvl="7" w:tplc="DED41A1C">
      <w:start w:val="1"/>
      <w:numFmt w:val="lowerLetter"/>
      <w:lvlText w:val="%8."/>
      <w:lvlJc w:val="left"/>
      <w:pPr>
        <w:ind w:left="5760" w:hanging="360"/>
      </w:pPr>
    </w:lvl>
    <w:lvl w:ilvl="8" w:tplc="1258323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C6568C"/>
    <w:multiLevelType w:val="multilevel"/>
    <w:tmpl w:val="68FE3F92"/>
    <w:lvl w:ilvl="0">
      <w:start w:val="5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tabs>
          <w:tab w:val="num" w:pos="8100"/>
        </w:tabs>
        <w:ind w:left="810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520"/>
        </w:tabs>
        <w:ind w:left="1584" w:hanging="1584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A39"/>
    <w:rsid w:val="001E40FC"/>
    <w:rsid w:val="00231617"/>
    <w:rsid w:val="004A7051"/>
    <w:rsid w:val="005129D5"/>
    <w:rsid w:val="00A97736"/>
    <w:rsid w:val="00E27CF6"/>
    <w:rsid w:val="00F95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48443C-9C4D-4CCF-A9F1-2AB6EA2B1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Calibri" w:hAnsi="Times New Roman" w:cs="Times New Roman"/>
      <w:b/>
      <w:bCs/>
      <w:cap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pPr>
      <w:keepNext/>
      <w:numPr>
        <w:numId w:val="3"/>
      </w:numPr>
      <w:outlineLvl w:val="0"/>
    </w:pPr>
    <w:rPr>
      <w:b w:val="0"/>
      <w:bCs w:val="0"/>
      <w:caps w:val="0"/>
      <w:szCs w:val="24"/>
    </w:rPr>
  </w:style>
  <w:style w:type="paragraph" w:styleId="2">
    <w:name w:val="heading 2"/>
    <w:basedOn w:val="a"/>
    <w:next w:val="a"/>
    <w:link w:val="20"/>
    <w:unhideWhenUsed/>
    <w:qFormat/>
    <w:pPr>
      <w:keepNext/>
      <w:numPr>
        <w:ilvl w:val="1"/>
        <w:numId w:val="3"/>
      </w:numPr>
      <w:jc w:val="center"/>
      <w:outlineLvl w:val="1"/>
    </w:pPr>
    <w:rPr>
      <w:b w:val="0"/>
      <w:bCs w:val="0"/>
      <w:caps w:val="0"/>
      <w:szCs w:val="24"/>
    </w:rPr>
  </w:style>
  <w:style w:type="paragraph" w:styleId="3">
    <w:name w:val="heading 3"/>
    <w:basedOn w:val="a"/>
    <w:next w:val="a"/>
    <w:link w:val="30"/>
    <w:semiHidden/>
    <w:unhideWhenUsed/>
    <w:qFormat/>
    <w:pPr>
      <w:keepNext/>
      <w:numPr>
        <w:ilvl w:val="2"/>
        <w:numId w:val="3"/>
      </w:numPr>
      <w:jc w:val="center"/>
      <w:outlineLvl w:val="2"/>
    </w:pPr>
    <w:rPr>
      <w:b w:val="0"/>
      <w:bCs w:val="0"/>
      <w:caps w:val="0"/>
      <w:szCs w:val="24"/>
    </w:rPr>
  </w:style>
  <w:style w:type="paragraph" w:styleId="4">
    <w:name w:val="heading 4"/>
    <w:basedOn w:val="a"/>
    <w:next w:val="a"/>
    <w:link w:val="40"/>
    <w:semiHidden/>
    <w:unhideWhenUsed/>
    <w:qFormat/>
    <w:pPr>
      <w:keepNext/>
      <w:numPr>
        <w:ilvl w:val="3"/>
        <w:numId w:val="3"/>
      </w:numPr>
      <w:jc w:val="right"/>
      <w:outlineLvl w:val="3"/>
    </w:pPr>
    <w:rPr>
      <w:b w:val="0"/>
      <w:bCs w:val="0"/>
      <w:caps w:val="0"/>
      <w:szCs w:val="24"/>
    </w:rPr>
  </w:style>
  <w:style w:type="paragraph" w:styleId="5">
    <w:name w:val="heading 5"/>
    <w:basedOn w:val="a"/>
    <w:next w:val="a"/>
    <w:link w:val="50"/>
    <w:semiHidden/>
    <w:unhideWhenUsed/>
    <w:qFormat/>
    <w:pPr>
      <w:numPr>
        <w:ilvl w:val="4"/>
        <w:numId w:val="3"/>
      </w:numPr>
      <w:spacing w:before="240" w:after="60"/>
      <w:outlineLvl w:val="4"/>
    </w:pPr>
    <w:rPr>
      <w:i/>
      <w:iCs/>
      <w:caps w:val="0"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pPr>
      <w:numPr>
        <w:ilvl w:val="5"/>
        <w:numId w:val="3"/>
      </w:numPr>
      <w:spacing w:before="240" w:after="60"/>
      <w:outlineLvl w:val="5"/>
    </w:pPr>
    <w:rPr>
      <w:caps w:val="0"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pPr>
      <w:numPr>
        <w:ilvl w:val="6"/>
        <w:numId w:val="3"/>
      </w:numPr>
      <w:spacing w:before="240" w:after="60"/>
      <w:outlineLvl w:val="6"/>
    </w:pPr>
    <w:rPr>
      <w:b w:val="0"/>
      <w:bCs w:val="0"/>
      <w:caps w:val="0"/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pPr>
      <w:numPr>
        <w:ilvl w:val="7"/>
        <w:numId w:val="3"/>
      </w:numPr>
      <w:spacing w:before="240" w:after="60"/>
      <w:outlineLvl w:val="7"/>
    </w:pPr>
    <w:rPr>
      <w:b w:val="0"/>
      <w:bCs w:val="0"/>
      <w:i/>
      <w:iCs/>
      <w:caps w:val="0"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b w:val="0"/>
      <w:bCs w:val="0"/>
      <w:caps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table" w:styleId="af9">
    <w:name w:val="Table Grid"/>
    <w:basedOn w:val="a1"/>
    <w:uiPriority w:val="59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a">
    <w:name w:val="Normal (Web)"/>
    <w:basedOn w:val="a"/>
    <w:unhideWhenUsed/>
    <w:pPr>
      <w:spacing w:before="100" w:beforeAutospacing="1" w:after="100" w:afterAutospacing="1"/>
    </w:pPr>
    <w:rPr>
      <w:rFonts w:eastAsia="Times New Roman"/>
      <w:b w:val="0"/>
      <w:bCs w:val="0"/>
      <w:caps w:val="0"/>
      <w:sz w:val="24"/>
      <w:szCs w:val="24"/>
    </w:rPr>
  </w:style>
  <w:style w:type="character" w:customStyle="1" w:styleId="10">
    <w:name w:val="Заголовок 1 Знак"/>
    <w:basedOn w:val="a0"/>
    <w:link w:val="1"/>
    <w:rPr>
      <w:rFonts w:ascii="Times New Roman" w:eastAsia="Calibri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Pr>
      <w:rFonts w:ascii="Times New Roman" w:eastAsia="Calibri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Pr>
      <w:rFonts w:ascii="Times New Roman" w:eastAsia="Calibri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Pr>
      <w:rFonts w:ascii="Times New Roman" w:eastAsia="Calibri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Pr>
      <w:rFonts w:ascii="Times New Roman" w:eastAsia="Calibri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Pr>
      <w:rFonts w:ascii="Times New Roman" w:eastAsia="Calibri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semiHidden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Pr>
      <w:rFonts w:ascii="Times New Roman" w:eastAsia="Calibri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Pr>
      <w:rFonts w:ascii="Arial" w:eastAsia="Calibri" w:hAnsi="Arial" w:cs="Arial"/>
      <w:lang w:eastAsia="ru-RU"/>
    </w:rPr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41DEB0B4A39FD4EB28DF350FCAEC9B9" ma:contentTypeVersion="0" ma:contentTypeDescription="Создание документа." ma:contentTypeScope="" ma:versionID="1bf21a2a7ebf52bcc708c573810198d9">
  <xsd:schema xmlns:xsd="http://www.w3.org/2001/XMLSchema" xmlns:xs="http://www.w3.org/2001/XMLSchema" xmlns:p="http://schemas.microsoft.com/office/2006/metadata/properties" xmlns:ns2="a5444ea2-90b0-4ece-a612-f39e0dd9a22f" targetNamespace="http://schemas.microsoft.com/office/2006/metadata/properties" ma:root="true" ma:fieldsID="af7464e8fd28f52b5c6ba8fd271f09ae" ns2:_="">
    <xsd:import namespace="a5444ea2-90b0-4ece-a612-f39e0dd9a22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444ea2-90b0-4ece-a612-f39e0dd9a22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5444ea2-90b0-4ece-a612-f39e0dd9a22f">VVDU5HPDTQC2-50-55359</_dlc_DocId>
    <_dlc_DocIdUrl xmlns="a5444ea2-90b0-4ece-a612-f39e0dd9a22f">
      <Url>http://docs.mobti.loc/dms/contracts/_layouts/15/DocIdRedir.aspx?ID=VVDU5HPDTQC2-50-55359</Url>
      <Description>VVDU5HPDTQC2-50-55359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185309-62C7-4B5E-BF03-4C9A0A74320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D619195-E31D-46EB-9CF1-0360480EB1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444ea2-90b0-4ece-a612-f39e0dd9a2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309E72-DD45-461E-8114-EED6A0ED8D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ADB6DD-D806-4846-81D7-C9EBAE3100F7}">
  <ds:schemaRefs>
    <ds:schemaRef ds:uri="http://schemas.microsoft.com/office/2006/metadata/properties"/>
    <ds:schemaRef ds:uri="http://schemas.microsoft.com/office/infopath/2007/PartnerControls"/>
    <ds:schemaRef ds:uri="a5444ea2-90b0-4ece-a612-f39e0dd9a22f"/>
  </ds:schemaRefs>
</ds:datastoreItem>
</file>

<file path=customXml/itemProps5.xml><?xml version="1.0" encoding="utf-8"?>
<ds:datastoreItem xmlns:ds="http://schemas.openxmlformats.org/officeDocument/2006/customXml" ds:itemID="{665FD9C6-824F-42AA-9352-D4E54DC6A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745</Characters>
  <Application>Microsoft Office Word</Application>
  <DocSecurity>0</DocSecurity>
  <Lines>6</Lines>
  <Paragraphs>1</Paragraphs>
  <ScaleCrop>false</ScaleCrop>
  <Company>AO VDNH</Company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Королёва Анна Александровна</dc:creator>
  <cp:lastModifiedBy>Шаталов Антониос Олегович</cp:lastModifiedBy>
  <cp:revision>28</cp:revision>
  <dcterms:created xsi:type="dcterms:W3CDTF">2024-01-23T08:24:00Z</dcterms:created>
  <dcterms:modified xsi:type="dcterms:W3CDTF">2025-06-09T09:25:00Z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0x010100641DEB0B4A39FD4EB28DF350FCAEC9B9</vt:lpwstr>
  </property>
  <property fmtid="{D5CDD505-2E9C-101B-9397-08002B2CF9AE}" pid="3" name="_dlc_DocIdItemGuid">
    <vt:lpwstr>78167e95-02f6-487f-931e-698896d2e4ae</vt:lpwstr>
  </property>
</Properties>
</file>