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DCF" w:rsidRDefault="00EE7D7F">
      <w:pPr>
        <w:rPr>
          <w:rFonts w:ascii="Times New Roman" w:hAnsi="Times New Roman" w:cs="Times New Roman"/>
        </w:rPr>
      </w:pPr>
      <w:bookmarkStart w:id="0" w:name="_GoBack"/>
      <w:bookmarkEnd w:id="0"/>
    </w:p>
    <w:p w:rsidR="002D6DCF" w:rsidRDefault="00EE7D7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содержанию, составу заявки на участие в электронном аукционе</w:t>
      </w:r>
    </w:p>
    <w:p w:rsidR="002D6DCF" w:rsidRDefault="00EE7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Для участия в конкурентном способе заявка на участие в закупке, если иное не предусмотрено Законом 44-ФЗ, должна содержать:</w:t>
      </w:r>
    </w:p>
    <w:p w:rsidR="002D6DCF" w:rsidRDefault="00EE7D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9718"/>
      </w:tblGrid>
      <w:tr w:rsidR="0036087A">
        <w:tc>
          <w:tcPr>
            <w:tcW w:w="9718" w:type="dxa"/>
          </w:tcPr>
          <w:p w:rsidR="002D6DCF" w:rsidRDefault="00EE7D7F">
            <w:pPr>
              <w:pStyle w:val="a7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Информацию и документы об участнике закупки: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1.1. </w:t>
            </w:r>
            <w:r>
              <w:rPr>
                <w:rFonts w:ascii="Times New Roman" w:hAnsi="Times New Roman" w:cs="Times New Roman"/>
              </w:rPr>
              <w:t xml:space="preserve">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</w:t>
            </w:r>
            <w:r>
              <w:rPr>
                <w:rFonts w:ascii="Times New Roman" w:hAnsi="Times New Roman" w:cs="Times New Roman"/>
              </w:rPr>
              <w:t>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фамилия, имя, отчес</w:t>
            </w:r>
            <w:r>
              <w:rPr>
                <w:rFonts w:ascii="Times New Roman" w:hAnsi="Times New Roman" w:cs="Times New Roman"/>
              </w:rPr>
              <w:t xml:space="preserve">тво (при наличии) (если участником закупки является физическое лицо, в том числе зарегистрированное в качестве индивидуального предпринимателя). </w:t>
            </w:r>
          </w:p>
          <w:p w:rsidR="00A66E05" w:rsidRPr="00ED15DC" w:rsidRDefault="00EE7D7F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</w:t>
            </w:r>
            <w:r>
              <w:rPr>
                <w:rFonts w:ascii="Times New Roman" w:hAnsi="Times New Roman" w:cs="Times New Roman"/>
                <w:b/>
              </w:rPr>
              <w:t xml:space="preserve">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</w:t>
            </w:r>
            <w:r>
              <w:rPr>
                <w:rFonts w:ascii="Times New Roman" w:hAnsi="Times New Roman" w:cs="Times New Roman"/>
                <w:b/>
              </w:rPr>
              <w:t>формационной системой (п.2 ч.6 ст.43 Закона 44-ФЗ)</w:t>
            </w:r>
          </w:p>
          <w:p w:rsidR="00ED15DC" w:rsidRPr="007A6CD0" w:rsidRDefault="00EE7D7F" w:rsidP="00B64D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  <w:p w:rsidR="00ED15DC" w:rsidRPr="00EA0D8B" w:rsidRDefault="00EE7D7F" w:rsidP="00EA0D8B">
            <w:pPr>
              <w:rPr>
                <w:rFonts w:ascii="Times New Roman" w:hAnsi="Times New Roman" w:cs="Times New Roman"/>
                <w:bCs/>
                <w:color w:val="7030A0"/>
                <w:sz w:val="24"/>
                <w:szCs w:val="24"/>
                <w:highlight w:val="yellow"/>
              </w:rPr>
            </w:pP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1.2. фамилия, имя, отчество (при наличии), идентификационный номер налогоплательщика (при наличии)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 w:cs="Times New Roman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функции единоличного исполнительного органа юридического лица</w:t>
            </w:r>
          </w:p>
          <w:p w:rsidR="002D6DCF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</w:t>
            </w:r>
            <w:r>
              <w:rPr>
                <w:rFonts w:ascii="Times New Roman" w:hAnsi="Times New Roman" w:cs="Times New Roman"/>
                <w:b/>
              </w:rPr>
              <w:t xml:space="preserve">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</w:t>
            </w:r>
            <w:r>
              <w:rPr>
                <w:rFonts w:ascii="Times New Roman" w:hAnsi="Times New Roman" w:cs="Times New Roman"/>
                <w:b/>
              </w:rPr>
              <w:t>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 адрес юридического лица, в том числе иностранного юридического лица (если участником закупки является юридическое лицо) в пределах</w:t>
            </w:r>
            <w:r>
              <w:rPr>
                <w:rFonts w:ascii="Times New Roman" w:hAnsi="Times New Roman" w:cs="Times New Roman"/>
              </w:rPr>
              <w:t xml:space="preserve">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аккредитованный филиал или представительство), адрес (ме</w:t>
            </w:r>
            <w:r>
              <w:rPr>
                <w:rFonts w:ascii="Times New Roman" w:hAnsi="Times New Roman" w:cs="Times New Roman"/>
              </w:rPr>
              <w:t>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зарегистрированного в качестве индивидуального предприним</w:t>
            </w:r>
            <w:r>
              <w:rPr>
                <w:rFonts w:ascii="Times New Roman" w:hAnsi="Times New Roman" w:cs="Times New Roman"/>
              </w:rPr>
              <w:t>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</w:t>
            </w:r>
          </w:p>
          <w:p w:rsidR="002D6DCF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</w:t>
            </w:r>
            <w:r>
              <w:rPr>
                <w:rFonts w:ascii="Times New Roman" w:hAnsi="Times New Roman" w:cs="Times New Roman"/>
                <w:b/>
              </w:rPr>
              <w:t>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</w:t>
            </w:r>
            <w:r>
              <w:rPr>
                <w:rFonts w:ascii="Times New Roman" w:hAnsi="Times New Roman" w:cs="Times New Roman"/>
                <w:b/>
              </w:rPr>
              <w:t>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 копия документа, удостоверяющего личность участника закупки в соответствии с законодательством Российской Федерации (если участник закупки является физическим ли</w:t>
            </w:r>
            <w:r>
              <w:rPr>
                <w:rFonts w:ascii="Times New Roman" w:hAnsi="Times New Roman" w:cs="Times New Roman"/>
              </w:rPr>
              <w:t>цом, не являющимся индивидуальным предпринимателем)</w:t>
            </w:r>
          </w:p>
          <w:p w:rsidR="002D6DCF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1.5. идентификационный номер налогоплатель</w:t>
            </w:r>
            <w:r>
              <w:rPr>
                <w:rFonts w:ascii="Times New Roman" w:hAnsi="Times New Roman" w:cs="Times New Roman"/>
              </w:rPr>
              <w:t>щика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</w:t>
            </w:r>
            <w:r>
              <w:rPr>
                <w:rFonts w:ascii="Times New Roman" w:hAnsi="Times New Roman" w:cs="Times New Roman"/>
              </w:rPr>
              <w:t xml:space="preserve"> физического лица,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</w:t>
            </w:r>
            <w:r>
              <w:rPr>
                <w:rFonts w:ascii="Times New Roman" w:hAnsi="Times New Roman" w:cs="Times New Roman"/>
              </w:rPr>
              <w:t>логоплательщика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</w:t>
            </w:r>
            <w:r>
              <w:rPr>
                <w:rFonts w:ascii="Times New Roman" w:hAnsi="Times New Roman" w:cs="Times New Roman"/>
              </w:rPr>
              <w:t>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</w:t>
            </w:r>
            <w:r>
              <w:rPr>
                <w:rFonts w:ascii="Times New Roman" w:hAnsi="Times New Roman" w:cs="Times New Roman"/>
              </w:rPr>
              <w:t>упает обособленное подразделение юридического лица)</w:t>
            </w:r>
          </w:p>
          <w:p w:rsidR="00D8055A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</w:t>
            </w:r>
            <w:r>
              <w:rPr>
                <w:rFonts w:ascii="Times New Roman" w:hAnsi="Times New Roman" w:cs="Times New Roman"/>
                <w:b/>
              </w:rPr>
              <w:t>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1.6. выписка из единого государственного </w:t>
            </w:r>
            <w:r>
              <w:rPr>
                <w:rFonts w:ascii="Times New Roman" w:hAnsi="Times New Roman" w:cs="Times New Roman"/>
              </w:rPr>
              <w:t>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 является индивидуальный предприниматель)</w:t>
            </w:r>
          </w:p>
          <w:p w:rsidR="00D8055A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</w:t>
            </w:r>
            <w:r>
              <w:rPr>
                <w:rFonts w:ascii="Times New Roman" w:hAnsi="Times New Roman" w:cs="Times New Roman"/>
                <w:b/>
              </w:rPr>
              <w:t>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</w:t>
            </w:r>
            <w:r>
              <w:rPr>
                <w:rFonts w:ascii="Times New Roman" w:hAnsi="Times New Roman" w:cs="Times New Roman"/>
                <w:b/>
              </w:rPr>
              <w:t>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 надлежащим образом заверенный перевод на русский язык документов о государственной регистрации юридического лица или физическо</w:t>
            </w:r>
            <w:r>
              <w:rPr>
                <w:rFonts w:ascii="Times New Roman" w:hAnsi="Times New Roman" w:cs="Times New Roman"/>
              </w:rPr>
              <w:t>го лица в качестве индивидуального предпринимателя в соответствии с законодательством соответствующего государства (если участником закупки является иностранное лицо)</w:t>
            </w:r>
          </w:p>
          <w:p w:rsidR="00D8055A" w:rsidRDefault="00EE7D7F" w:rsidP="00D805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заявку на участие в заку</w:t>
            </w:r>
            <w:r>
              <w:rPr>
                <w:rFonts w:ascii="Times New Roman" w:hAnsi="Times New Roman" w:cs="Times New Roman"/>
                <w:b/>
              </w:rPr>
              <w:t>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</w:t>
            </w:r>
            <w:r>
              <w:rPr>
                <w:rFonts w:ascii="Times New Roman" w:hAnsi="Times New Roman" w:cs="Times New Roman"/>
                <w:b/>
              </w:rPr>
              <w:t>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 решение о согласии на совершение или о последующем одобрении крупной сделки, если требование о наличии такого решения установлено законодательством РФ, учредительными документами</w:t>
            </w:r>
            <w:r>
              <w:rPr>
                <w:rFonts w:ascii="Times New Roman" w:hAnsi="Times New Roman" w:cs="Times New Roman"/>
              </w:rPr>
              <w:t xml:space="preserve"> юридического лица и для участника закупки заключение контракта на поставку товара, выполнение работы или оказание услуги, являющихся объектом закупки, либо внесение денежных средств в качестве обеспечения заявки на участие в закупке, обеспечения исполнени</w:t>
            </w:r>
            <w:r>
              <w:rPr>
                <w:rFonts w:ascii="Times New Roman" w:hAnsi="Times New Roman" w:cs="Times New Roman"/>
              </w:rPr>
              <w:t>я контракта является крупной сделкой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1.9. декларация о соответствии участника закупки требованиям, установленным </w:t>
            </w:r>
            <w:r>
              <w:rPr>
                <w:rFonts w:ascii="Times New Roman" w:hAnsi="Times New Roman" w:cs="Times New Roman"/>
                <w:color w:val="0000FF"/>
              </w:rPr>
              <w:t>п. 3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color w:val="0000FF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- </w:t>
            </w:r>
            <w:r>
              <w:rPr>
                <w:rFonts w:ascii="Times New Roman" w:hAnsi="Times New Roman" w:cs="Times New Roman"/>
                <w:color w:val="0000FF"/>
              </w:rPr>
              <w:t>11 ч. 1 ст. 31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1.10</w:t>
            </w:r>
            <w:r>
              <w:rPr>
                <w:rFonts w:ascii="Times New Roman" w:hAnsi="Times New Roman" w:cs="Times New Roman"/>
                <w:bCs/>
              </w:rPr>
              <w:t xml:space="preserve"> 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управляющей организации (при наличии), участников (членов) ко</w:t>
            </w:r>
            <w:r>
              <w:rPr>
                <w:rFonts w:ascii="Times New Roman" w:hAnsi="Times New Roman" w:cs="Times New Roman"/>
                <w:bCs/>
              </w:rPr>
              <w:t xml:space="preserve">рпоративного юридического лица, владеющих более чем двадцатью пятью процентами акций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(долей, паев) корпоративного юридического лица, учредителей унитарного юридического лица или в соответствии с законодательством соответствующего иностранного государства а</w:t>
            </w:r>
            <w:r>
              <w:rPr>
                <w:rFonts w:ascii="Times New Roman" w:hAnsi="Times New Roman" w:cs="Times New Roman"/>
                <w:bCs/>
              </w:rPr>
              <w:t>налог идентификационного номера налогоплательщика таких лиц.</w:t>
            </w:r>
          </w:p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Данная информация и документы не включаются участником закупки в заявку на участие в закупке. Такие информация и документы в случаях, предусмотренных Законом 44-ФЗ, направляются (по состоянию на </w:t>
            </w:r>
            <w:r>
              <w:rPr>
                <w:rFonts w:ascii="Times New Roman" w:hAnsi="Times New Roman" w:cs="Times New Roman"/>
                <w:b/>
              </w:rPr>
              <w:t>дату и время их направления) заказчику оператором электронной площадки, оператором специализированной электронной площадки путем информационного взаимодействия с единой информационной системой (п.2 ч.6 ст.43 Закона 44-ФЗ)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1.11. реквизиты счета участника з</w:t>
            </w:r>
            <w:r>
              <w:rPr>
                <w:rFonts w:ascii="Times New Roman" w:hAnsi="Times New Roman" w:cs="Times New Roman"/>
              </w:rPr>
              <w:t>акупки, на который в соответствии с законодательством РФ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отдельных этапов исполнения контракта, за исключени</w:t>
            </w:r>
            <w:r>
              <w:rPr>
                <w:rFonts w:ascii="Times New Roman" w:hAnsi="Times New Roman" w:cs="Times New Roman"/>
              </w:rPr>
              <w:t>ем случаев, если в соответствии с законодательством РФ такой счет открывается после заключения контракта.</w:t>
            </w:r>
          </w:p>
        </w:tc>
      </w:tr>
      <w:tr w:rsidR="0036087A">
        <w:tc>
          <w:tcPr>
            <w:tcW w:w="9718" w:type="dxa"/>
          </w:tcPr>
          <w:p w:rsidR="00D8055A" w:rsidRDefault="00EE7D7F" w:rsidP="00D8055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1.12. –</w:t>
            </w:r>
          </w:p>
        </w:tc>
      </w:tr>
      <w:tr w:rsidR="0036087A">
        <w:trPr>
          <w:trHeight w:val="90"/>
        </w:trPr>
        <w:tc>
          <w:tcPr>
            <w:tcW w:w="9718" w:type="dxa"/>
          </w:tcPr>
          <w:p w:rsidR="002D6DCF" w:rsidRDefault="00EE7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1.13. –</w:t>
            </w:r>
          </w:p>
        </w:tc>
      </w:tr>
      <w:tr w:rsidR="0036087A">
        <w:tc>
          <w:tcPr>
            <w:tcW w:w="9718" w:type="dxa"/>
          </w:tcPr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1.14. декларация о принадлежности участника закупки к социально ориентированным некоммерческим организациям в случае установления преимущества, предусмотренного </w:t>
            </w:r>
            <w:r>
              <w:rPr>
                <w:rFonts w:ascii="Times New Roman" w:hAnsi="Times New Roman" w:cs="Times New Roman"/>
                <w:color w:val="0000FF"/>
              </w:rPr>
              <w:t>ч. 3 ст. 30</w:t>
            </w:r>
            <w:r>
              <w:rPr>
                <w:rFonts w:ascii="Times New Roman" w:hAnsi="Times New Roman" w:cs="Times New Roman"/>
              </w:rPr>
              <w:t xml:space="preserve"> Закона 44-ФЗ</w:t>
            </w:r>
          </w:p>
          <w:p w:rsidR="0036087A" w:rsidRDefault="00EE7D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Данная информация и документы не включаются участником закупки в заявк</w:t>
            </w:r>
            <w:r>
              <w:rPr>
                <w:rFonts w:ascii="Times New Roman" w:hAnsi="Times New Roman" w:cs="Times New Roman"/>
                <w:b/>
              </w:rPr>
              <w:t>у на участие в закупке. Такие информация и документы в случаях, предусмотренных Законом 44-ФЗ, направляются (по состоянию на дату и время их направления) заказчику оператором электронной площадки, оператором специализированной электронной площадки путем ин</w:t>
            </w:r>
            <w:r>
              <w:rPr>
                <w:rFonts w:ascii="Times New Roman" w:hAnsi="Times New Roman" w:cs="Times New Roman"/>
                <w:b/>
              </w:rPr>
              <w:t>формационного взаимодействия с единой информационной системой (п.2 ч.6 ст.43 Закона 44-ФЗ)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6087A">
        <w:tc>
          <w:tcPr>
            <w:tcW w:w="9718" w:type="dxa"/>
          </w:tcPr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1.15-</w:t>
            </w:r>
          </w:p>
          <w:p w:rsidR="0036087A" w:rsidRDefault="0036087A">
            <w:pPr>
              <w:jc w:val="both"/>
              <w:rPr>
                <w:rFonts w:ascii="Times New Roman" w:hAnsi="Times New Roman" w:cs="Times New Roman"/>
              </w:rPr>
            </w:pPr>
          </w:p>
          <w:p w:rsidR="002D6DCF" w:rsidRDefault="00EE7D7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6087A">
        <w:trPr>
          <w:trHeight w:val="537"/>
        </w:trPr>
        <w:tc>
          <w:tcPr>
            <w:tcW w:w="9718" w:type="dxa"/>
          </w:tcPr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1E28" w:rsidRDefault="00EE7D7F" w:rsidP="004A1E2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  <w:p w:rsidR="002D6DCF" w:rsidRDefault="00EE7D7F">
            <w:pPr>
              <w:rPr>
                <w:rFonts w:ascii="Times New Roman" w:hAnsi="Times New Roman" w:cs="Times New Roman"/>
              </w:rPr>
            </w:pPr>
          </w:p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87A">
        <w:tc>
          <w:tcPr>
            <w:tcW w:w="9718" w:type="dxa"/>
          </w:tcPr>
          <w:p w:rsidR="002D6DCF" w:rsidRDefault="00EE7D7F">
            <w:pPr>
              <w:spacing w:after="0" w:line="240" w:lineRule="auto"/>
              <w:ind w:firstLine="31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Предложение участника закупки в отношении объекта закупки:</w:t>
            </w:r>
          </w:p>
        </w:tc>
      </w:tr>
      <w:tr w:rsidR="0036087A">
        <w:trPr>
          <w:trHeight w:val="5821"/>
        </w:trPr>
        <w:tc>
          <w:tcPr>
            <w:tcW w:w="9718" w:type="dxa"/>
          </w:tcPr>
          <w:p w:rsidR="002D6DCF" w:rsidRDefault="00EE7D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lastRenderedPageBreak/>
              <w:t xml:space="preserve">В случае осуществления закупки товара, в том числе поставляемого заказчику при </w:t>
            </w:r>
            <w:r>
              <w:rPr>
                <w:rFonts w:ascii="Times New Roman" w:hAnsi="Times New Roman" w:cs="Times New Roman"/>
                <w:b/>
                <w:u w:val="single"/>
              </w:rPr>
              <w:t>выполнении закупаемых работ, оказании закупаемых услуг</w:t>
            </w:r>
            <w:r>
              <w:rPr>
                <w:rFonts w:ascii="Times New Roman" w:hAnsi="Times New Roman" w:cs="Times New Roman"/>
                <w:b/>
                <w:i/>
                <w:u w:val="single"/>
              </w:rPr>
              <w:t>:</w:t>
            </w:r>
          </w:p>
          <w:p w:rsidR="002D6DCF" w:rsidRDefault="00EE7D7F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1. характеристики предлагаемого участником закупки товара, соответствующие показателям, установленным в описании объекта закупки в соответствии с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ч. 2 ст. 33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Закона 44-ФЗ, товарный знак (при наличии у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товара товарного знака). Информация, предусмотренная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color w:val="0000FF"/>
              </w:rPr>
              <w:t>подпунктом «а» п. 2 ч. 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ст. 43  Закона 44-ФЗ,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товара, в том числе поставляемого заказчику при выполнении закупаемых работ, оказании закупаемых услуг, обозначенного таким товарным знаком</w:t>
            </w:r>
          </w:p>
          <w:p w:rsidR="002D6DCF" w:rsidRDefault="00EE7D7F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EE7D7F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200" w:firstLine="44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2. наименование страны происхождения товара в соответствии с общероссийским классификатором, используемым для идент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ификации стран мира, с учетом положений ч. 2 ст. 43  Закона 44-ФЗ</w:t>
            </w:r>
          </w:p>
          <w:p w:rsidR="002D6DCF" w:rsidRDefault="00EE7D7F">
            <w:pPr>
              <w:pStyle w:val="a7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:rsidR="002D6DCF" w:rsidRDefault="00EE7D7F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3. документы, подтверждающие соответствие товара, работы или услуги требованиям, установленным в соответствии с законодательством РФ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>(в случае, если в соответствии с законодательством РФ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установлены требования к товару, работе или услуге и представление указанных документов предусмотрено извещением об осуществлении закупки).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u w:val="single"/>
              </w:rPr>
              <w:br/>
            </w:r>
            <w:r>
              <w:rPr>
                <w:rFonts w:ascii="Times New Roman" w:hAnsi="Times New Roman" w:cs="Times New Roman"/>
              </w:rPr>
              <w:t>информация о наличии записи в государственном реестре медицинских изделий, подтверждающая факт государственной рег</w:t>
            </w:r>
            <w:r>
              <w:rPr>
                <w:rFonts w:ascii="Times New Roman" w:hAnsi="Times New Roman" w:cs="Times New Roman"/>
              </w:rPr>
              <w:t>истрации медицинского изделия для медицинского применения, или копия действующего регистрационного удостоверения, выданного уполномоченным органом. При предоставлении нескольких товарных знаков участнику закупки необходимо предоставить такую информацию или</w:t>
            </w:r>
            <w:r>
              <w:rPr>
                <w:rFonts w:ascii="Times New Roman" w:hAnsi="Times New Roman" w:cs="Times New Roman"/>
              </w:rPr>
              <w:t xml:space="preserve"> документ на каждый предлагаемый товар.</w:t>
            </w:r>
          </w:p>
          <w:p w:rsidR="0036087A" w:rsidRDefault="0036087A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D6DCF" w:rsidRDefault="00EE7D7F" w:rsidP="00706BD4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0" w:firstLineChars="150" w:firstLine="33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>4. 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является основанием для</w:t>
            </w:r>
            <w:r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отклонения заявки на участие в закупке</w:t>
            </w:r>
          </w:p>
          <w:p w:rsidR="002D6DCF" w:rsidRDefault="00EE7D7F">
            <w:pPr>
              <w:pStyle w:val="a7"/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087A">
        <w:tc>
          <w:tcPr>
            <w:tcW w:w="9718" w:type="dxa"/>
            <w:tcMar>
              <w:left w:w="0" w:type="dxa"/>
              <w:right w:w="108" w:type="dxa"/>
            </w:tcMar>
          </w:tcPr>
          <w:p w:rsidR="00AB40EF" w:rsidRPr="00E04B2B" w:rsidRDefault="00EE7D7F" w:rsidP="00AB40E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04B2B">
              <w:rPr>
                <w:rFonts w:ascii="Times New Roman" w:hAnsi="Times New Roman" w:cs="Times New Roman"/>
                <w:color w:val="000000" w:themeColor="text1"/>
              </w:rPr>
              <w:t>3.</w:t>
            </w:r>
            <w:r w:rsidRPr="00E04B2B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D4D47" w:rsidRDefault="00EE7D7F" w:rsidP="001D4D4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82517" w:rsidRPr="00482517" w:rsidRDefault="00EE7D7F" w:rsidP="00482517">
            <w:pPr>
              <w:rPr>
                <w:rFonts w:ascii="Times New Roman" w:hAnsi="Times New Roman" w:cs="Times New Roman"/>
              </w:rPr>
            </w:pPr>
            <w:r w:rsidRPr="00482517">
              <w:rPr>
                <w:rFonts w:ascii="Times New Roman" w:hAnsi="Times New Roman" w:cs="Times New Roman"/>
                <w:noProof/>
                <w:color w:val="000000" w:themeColor="text1"/>
              </w:rPr>
              <w:t xml:space="preserve">Информация и документы, подтверждающие 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страну происхождения товара для целей постановления Правительства РФ от 23.12.2024 № 1875 «О мерах по предоставлению национального режима при осуществлении закупок 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>товаров, работ, услуг для обеспечения государственных и муниципальных нужд, закупок товаров, работ, услуг отдельными видами юридических лиц»: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номер реестровой записи из реестра российской промышленной продукции, предусмотренного статьей 17.1 Федерального закона «О промышленной политике в Российской Федерации» (далее - реестр российской промышленной продукции), и справка, подтверждающая наличие с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пециального инвестиционного контракта и предусмотренная пунктом 1(1) постановления Правительства Российской Федерации от 17 июля 2015 г. № 719 «О подтверждении производства российской промышленной продукции» (далее – постановление Правительства РФ № 719), 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или номер реестровой записи из реестра российской промышленной продукции, содержащей в том числе:информацию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>кого товара постановлением Правительства РФ № 719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 постановлением Правительства РФ № 719, включая значение, определенное для целей осуществления закупок (если постановлением 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lastRenderedPageBreak/>
              <w:t>Правительства РФ № 719 в отношении такого товара определено значение для целей осуществления закупок);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информацию об уровне радиоэл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>ектронной продукции (для товара, являющегося в соответствии с постановлением Правительства РФ № 719 радиоэлектронной продукцией первого уровня или радиоэлектронной продукцией второго уровня);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либо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номер реестровой записи из евразийского реестра промышлен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>ных товаров государств - членов Евразийского экономического союза, порядок формирования и ведения которого устанавливается правом Евразийского экономического союза, содержащей в том числе: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>информацию о совокупном количестве баллов за выполнение (освоение)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 </w:t>
            </w:r>
          </w:p>
          <w:p w:rsidR="0036087A" w:rsidRPr="00482517" w:rsidRDefault="0036087A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36087A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информацию об уровне радиоэлектронной продукции (для товара, являющегося </w:t>
            </w:r>
          </w:p>
          <w:p w:rsidR="00482517" w:rsidRPr="00482517" w:rsidRDefault="00EE7D7F" w:rsidP="004825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482517">
              <w:rPr>
                <w:rFonts w:ascii="Times New Roman" w:hAnsi="Times New Roman" w:cs="Times New Roman"/>
                <w:color w:val="000000" w:themeColor="text1"/>
              </w:rPr>
              <w:t xml:space="preserve">в соответствии с </w:t>
            </w:r>
            <w:r w:rsidRPr="00482517">
              <w:rPr>
                <w:rFonts w:ascii="Times New Roman" w:hAnsi="Times New Roman" w:cs="Times New Roman"/>
                <w:color w:val="000000" w:themeColor="text1"/>
              </w:rPr>
              <w:t>правом Евразийского экономического союза радиоэлектронной продукцией первого уровня или радиоэлектронной продукцией второго уровня).</w:t>
            </w:r>
          </w:p>
          <w:p w:rsidR="00632A88" w:rsidRPr="00482517" w:rsidRDefault="00EE7D7F" w:rsidP="00482517">
            <w:pPr>
              <w:rPr>
                <w:rFonts w:ascii="Times New Roman" w:hAnsi="Times New Roman" w:cs="Times New Roman"/>
              </w:rPr>
            </w:pPr>
            <w:r w:rsidRPr="00482517">
              <w:rPr>
                <w:rFonts w:ascii="Times New Roman" w:hAnsi="Times New Roman" w:cs="Times New Roman"/>
              </w:rPr>
              <w:t xml:space="preserve">  </w:t>
            </w:r>
          </w:p>
          <w:p w:rsidR="000D79D5" w:rsidRPr="00066E58" w:rsidRDefault="00EE7D7F" w:rsidP="000D79D5">
            <w:pPr>
              <w:rPr>
                <w:rFonts w:ascii="Times New Roman" w:hAnsi="Times New Roman" w:cs="Times New Roman"/>
              </w:rPr>
            </w:pPr>
          </w:p>
          <w:p w:rsidR="002C19DF" w:rsidRPr="00E04B2B" w:rsidRDefault="00EE7D7F" w:rsidP="000D79D5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:rsidR="00AB40EF" w:rsidRPr="00E04B2B" w:rsidRDefault="00EE7D7F" w:rsidP="00AB40E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B40EF" w:rsidRPr="001D4D47" w:rsidRDefault="00EE7D7F" w:rsidP="001D4D47">
            <w:pPr>
              <w:rPr>
                <w:rFonts w:ascii="Times New Roman" w:hAnsi="Times New Roman" w:cs="Times New Roman"/>
                <w:b/>
              </w:rPr>
            </w:pPr>
          </w:p>
          <w:p w:rsidR="002D6DCF" w:rsidRDefault="00EE7D7F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 w:cs="Times New Roman"/>
              </w:rPr>
            </w:pPr>
          </w:p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2D6DCF" w:rsidRDefault="00EE7D7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D6DCF" w:rsidRDefault="00EE7D7F">
      <w:pPr>
        <w:pStyle w:val="a7"/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b/>
          <w:bCs/>
          <w:i/>
          <w:iCs/>
        </w:rPr>
      </w:pPr>
    </w:p>
    <w:p w:rsidR="002D6DCF" w:rsidRDefault="00EE7D7F">
      <w:pPr>
        <w:jc w:val="center"/>
      </w:pPr>
    </w:p>
    <w:sectPr w:rsidR="002D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47CC4"/>
    <w:multiLevelType w:val="multilevel"/>
    <w:tmpl w:val="18647CC4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CDD4EDB"/>
    <w:multiLevelType w:val="multilevel"/>
    <w:tmpl w:val="2CDD4ED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A2398D"/>
    <w:multiLevelType w:val="hybridMultilevel"/>
    <w:tmpl w:val="420645C2"/>
    <w:lvl w:ilvl="0" w:tplc="B1164A5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8ABA92AC" w:tentative="1">
      <w:start w:val="1"/>
      <w:numFmt w:val="lowerLetter"/>
      <w:lvlText w:val="%2."/>
      <w:lvlJc w:val="left"/>
      <w:pPr>
        <w:ind w:left="1620" w:hanging="360"/>
      </w:pPr>
    </w:lvl>
    <w:lvl w:ilvl="2" w:tplc="499C5BF4" w:tentative="1">
      <w:start w:val="1"/>
      <w:numFmt w:val="lowerRoman"/>
      <w:lvlText w:val="%3."/>
      <w:lvlJc w:val="right"/>
      <w:pPr>
        <w:ind w:left="2340" w:hanging="180"/>
      </w:pPr>
    </w:lvl>
    <w:lvl w:ilvl="3" w:tplc="2A880216" w:tentative="1">
      <w:start w:val="1"/>
      <w:numFmt w:val="decimal"/>
      <w:lvlText w:val="%4."/>
      <w:lvlJc w:val="left"/>
      <w:pPr>
        <w:ind w:left="3060" w:hanging="360"/>
      </w:pPr>
    </w:lvl>
    <w:lvl w:ilvl="4" w:tplc="605E5A72" w:tentative="1">
      <w:start w:val="1"/>
      <w:numFmt w:val="lowerLetter"/>
      <w:lvlText w:val="%5."/>
      <w:lvlJc w:val="left"/>
      <w:pPr>
        <w:ind w:left="3780" w:hanging="360"/>
      </w:pPr>
    </w:lvl>
    <w:lvl w:ilvl="5" w:tplc="25FA35E0" w:tentative="1">
      <w:start w:val="1"/>
      <w:numFmt w:val="lowerRoman"/>
      <w:lvlText w:val="%6."/>
      <w:lvlJc w:val="right"/>
      <w:pPr>
        <w:ind w:left="4500" w:hanging="180"/>
      </w:pPr>
    </w:lvl>
    <w:lvl w:ilvl="6" w:tplc="51DE4778" w:tentative="1">
      <w:start w:val="1"/>
      <w:numFmt w:val="decimal"/>
      <w:lvlText w:val="%7."/>
      <w:lvlJc w:val="left"/>
      <w:pPr>
        <w:ind w:left="5220" w:hanging="360"/>
      </w:pPr>
    </w:lvl>
    <w:lvl w:ilvl="7" w:tplc="24C02364" w:tentative="1">
      <w:start w:val="1"/>
      <w:numFmt w:val="lowerLetter"/>
      <w:lvlText w:val="%8."/>
      <w:lvlJc w:val="left"/>
      <w:pPr>
        <w:ind w:left="5940" w:hanging="360"/>
      </w:pPr>
    </w:lvl>
    <w:lvl w:ilvl="8" w:tplc="010C63AA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A26730C"/>
    <w:multiLevelType w:val="hybridMultilevel"/>
    <w:tmpl w:val="7F3ED252"/>
    <w:lvl w:ilvl="0" w:tplc="565ED5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9CCDDC" w:tentative="1">
      <w:start w:val="1"/>
      <w:numFmt w:val="lowerLetter"/>
      <w:lvlText w:val="%2."/>
      <w:lvlJc w:val="left"/>
      <w:pPr>
        <w:ind w:left="1440" w:hanging="360"/>
      </w:pPr>
    </w:lvl>
    <w:lvl w:ilvl="2" w:tplc="196833BE" w:tentative="1">
      <w:start w:val="1"/>
      <w:numFmt w:val="lowerRoman"/>
      <w:lvlText w:val="%3."/>
      <w:lvlJc w:val="right"/>
      <w:pPr>
        <w:ind w:left="2160" w:hanging="180"/>
      </w:pPr>
    </w:lvl>
    <w:lvl w:ilvl="3" w:tplc="758607A4" w:tentative="1">
      <w:start w:val="1"/>
      <w:numFmt w:val="decimal"/>
      <w:lvlText w:val="%4."/>
      <w:lvlJc w:val="left"/>
      <w:pPr>
        <w:ind w:left="2880" w:hanging="360"/>
      </w:pPr>
    </w:lvl>
    <w:lvl w:ilvl="4" w:tplc="9CBC417A" w:tentative="1">
      <w:start w:val="1"/>
      <w:numFmt w:val="lowerLetter"/>
      <w:lvlText w:val="%5."/>
      <w:lvlJc w:val="left"/>
      <w:pPr>
        <w:ind w:left="3600" w:hanging="360"/>
      </w:pPr>
    </w:lvl>
    <w:lvl w:ilvl="5" w:tplc="408CCE92" w:tentative="1">
      <w:start w:val="1"/>
      <w:numFmt w:val="lowerRoman"/>
      <w:lvlText w:val="%6."/>
      <w:lvlJc w:val="right"/>
      <w:pPr>
        <w:ind w:left="4320" w:hanging="180"/>
      </w:pPr>
    </w:lvl>
    <w:lvl w:ilvl="6" w:tplc="49603D96" w:tentative="1">
      <w:start w:val="1"/>
      <w:numFmt w:val="decimal"/>
      <w:lvlText w:val="%7."/>
      <w:lvlJc w:val="left"/>
      <w:pPr>
        <w:ind w:left="5040" w:hanging="360"/>
      </w:pPr>
    </w:lvl>
    <w:lvl w:ilvl="7" w:tplc="33D01ED8" w:tentative="1">
      <w:start w:val="1"/>
      <w:numFmt w:val="lowerLetter"/>
      <w:lvlText w:val="%8."/>
      <w:lvlJc w:val="left"/>
      <w:pPr>
        <w:ind w:left="5760" w:hanging="360"/>
      </w:pPr>
    </w:lvl>
    <w:lvl w:ilvl="8" w:tplc="B2329E3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7A"/>
    <w:rsid w:val="0036087A"/>
    <w:rsid w:val="00EE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2B31F7-F413-4CED-B51C-0467999AF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E3C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HTML0">
    <w:name w:val="Стандартный HTML Знак"/>
    <w:basedOn w:val="a0"/>
    <w:link w:val="HTML"/>
    <w:uiPriority w:val="99"/>
    <w:qFormat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9543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F1264B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F1264B"/>
    <w:rPr>
      <w:rFonts w:asciiTheme="minorHAnsi" w:eastAsiaTheme="minorHAnsi" w:hAnsiTheme="minorHAnsi" w:cstheme="minorBidi"/>
      <w:lang w:eastAsia="en-US"/>
    </w:rPr>
  </w:style>
  <w:style w:type="character" w:styleId="ab">
    <w:name w:val="footnote reference"/>
    <w:basedOn w:val="a0"/>
    <w:uiPriority w:val="99"/>
    <w:semiHidden/>
    <w:unhideWhenUsed/>
    <w:rsid w:val="00F126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B2A8B157-0583-4FBC-890F-6935B6688B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2145</Words>
  <Characters>12229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14346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Преловская</dc:creator>
  <cp:lastModifiedBy>Дайнич Наталья Николаевна</cp:lastModifiedBy>
  <cp:revision>2</cp:revision>
  <cp:lastPrinted>2022-01-18T10:37:00Z</cp:lastPrinted>
  <dcterms:created xsi:type="dcterms:W3CDTF">2025-08-25T07:49:00Z</dcterms:created>
  <dcterms:modified xsi:type="dcterms:W3CDTF">2025-08-25T07:49:00Z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7B2226113DE245BC86087738BFF32D96</vt:lpwstr>
  </property>
  <property fmtid="{D5CDD505-2E9C-101B-9397-08002B2CF9AE}" pid="3" name="KSOProductBuildVer">
    <vt:lpwstr>1049-12.2.0.16909</vt:lpwstr>
  </property>
</Properties>
</file>